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Pr="00E76D68" w:rsidRDefault="00320FC3" w:rsidP="00DB1081">
      <w:pPr>
        <w:tabs>
          <w:tab w:val="left" w:pos="2323"/>
        </w:tabs>
        <w:jc w:val="center"/>
        <w:outlineLvl w:val="0"/>
      </w:pPr>
      <w:r w:rsidRPr="00E76D68">
        <w:rPr>
          <w:noProof/>
        </w:rPr>
        <w:drawing>
          <wp:anchor distT="0" distB="0" distL="114300" distR="114300" simplePos="0" relativeHeight="251659264" behindDoc="0" locked="0" layoutInCell="1" allowOverlap="1" wp14:anchorId="60BB6678" wp14:editId="1056F7AB">
            <wp:simplePos x="0" y="0"/>
            <wp:positionH relativeFrom="column">
              <wp:posOffset>2713990</wp:posOffset>
            </wp:positionH>
            <wp:positionV relativeFrom="paragraph">
              <wp:posOffset>6350</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Pr="00E76D68" w:rsidRDefault="00DB1081" w:rsidP="00DB1081">
      <w:pPr>
        <w:tabs>
          <w:tab w:val="left" w:pos="2323"/>
        </w:tabs>
        <w:jc w:val="center"/>
        <w:outlineLvl w:val="0"/>
      </w:pPr>
    </w:p>
    <w:p w:rsidR="00DB1081" w:rsidRPr="00E76D68" w:rsidRDefault="00DB1081" w:rsidP="00DB1081">
      <w:pPr>
        <w:tabs>
          <w:tab w:val="left" w:pos="2323"/>
        </w:tabs>
        <w:jc w:val="center"/>
        <w:outlineLvl w:val="0"/>
        <w:rPr>
          <w:b/>
        </w:rPr>
      </w:pPr>
    </w:p>
    <w:p w:rsidR="00DB1081" w:rsidRPr="00E76D68" w:rsidRDefault="00DB1081" w:rsidP="00DB1081">
      <w:pPr>
        <w:tabs>
          <w:tab w:val="left" w:pos="2323"/>
        </w:tabs>
        <w:jc w:val="center"/>
        <w:outlineLvl w:val="0"/>
        <w:rPr>
          <w:b/>
        </w:rPr>
      </w:pPr>
    </w:p>
    <w:p w:rsidR="00DB1081" w:rsidRPr="00E76D68" w:rsidRDefault="00DB1081" w:rsidP="00DB1081">
      <w:pPr>
        <w:tabs>
          <w:tab w:val="left" w:pos="2323"/>
        </w:tabs>
        <w:jc w:val="center"/>
        <w:outlineLvl w:val="0"/>
        <w:rPr>
          <w:b/>
        </w:rPr>
      </w:pPr>
    </w:p>
    <w:p w:rsidR="00DB1081" w:rsidRPr="00137D38" w:rsidRDefault="00DB1081" w:rsidP="00DB1081">
      <w:pPr>
        <w:tabs>
          <w:tab w:val="left" w:pos="2323"/>
        </w:tabs>
        <w:jc w:val="center"/>
        <w:outlineLvl w:val="0"/>
        <w:rPr>
          <w:b/>
          <w:sz w:val="20"/>
          <w:szCs w:val="20"/>
        </w:rPr>
      </w:pPr>
    </w:p>
    <w:p w:rsidR="00E76D68" w:rsidRPr="00137D38" w:rsidRDefault="00E76D68" w:rsidP="00DB1081">
      <w:pPr>
        <w:tabs>
          <w:tab w:val="left" w:pos="2323"/>
        </w:tabs>
        <w:jc w:val="center"/>
        <w:outlineLvl w:val="0"/>
        <w:rPr>
          <w:b/>
          <w:sz w:val="20"/>
          <w:szCs w:val="20"/>
        </w:rPr>
      </w:pPr>
    </w:p>
    <w:p w:rsidR="00DB1081" w:rsidRPr="008505B3" w:rsidRDefault="00DB1081" w:rsidP="00DB1081">
      <w:pPr>
        <w:jc w:val="center"/>
        <w:rPr>
          <w:b/>
          <w:sz w:val="22"/>
          <w:szCs w:val="22"/>
        </w:rPr>
      </w:pPr>
      <w:r w:rsidRPr="008505B3">
        <w:rPr>
          <w:b/>
          <w:sz w:val="22"/>
          <w:szCs w:val="22"/>
        </w:rPr>
        <w:t>РЕВИЗИОННАЯ КОМИССИЯ КАРГАТСКОГО РАЙОНА</w:t>
      </w:r>
    </w:p>
    <w:p w:rsidR="00DB1081" w:rsidRPr="008505B3" w:rsidRDefault="00DB1081" w:rsidP="00DB1081">
      <w:pPr>
        <w:jc w:val="center"/>
        <w:rPr>
          <w:b/>
          <w:sz w:val="22"/>
          <w:szCs w:val="22"/>
        </w:rPr>
      </w:pPr>
      <w:r w:rsidRPr="008505B3">
        <w:rPr>
          <w:b/>
          <w:sz w:val="22"/>
          <w:szCs w:val="22"/>
        </w:rPr>
        <w:t>НОВОСИБИРСКОЙ ОБЛАСТИ</w:t>
      </w:r>
    </w:p>
    <w:p w:rsidR="00DB1081" w:rsidRPr="00B75826" w:rsidRDefault="00DB1081" w:rsidP="00DB1081">
      <w:pPr>
        <w:jc w:val="center"/>
        <w:rPr>
          <w:sz w:val="20"/>
          <w:szCs w:val="20"/>
        </w:rPr>
      </w:pPr>
    </w:p>
    <w:p w:rsidR="0017696E" w:rsidRPr="00B75826" w:rsidRDefault="0017696E" w:rsidP="00DB1081">
      <w:pPr>
        <w:jc w:val="center"/>
        <w:rPr>
          <w:sz w:val="20"/>
          <w:szCs w:val="20"/>
        </w:rPr>
      </w:pPr>
    </w:p>
    <w:p w:rsidR="00DB1081" w:rsidRPr="0029403D" w:rsidRDefault="00DB1081" w:rsidP="00DB1081">
      <w:pPr>
        <w:jc w:val="center"/>
        <w:rPr>
          <w:b/>
        </w:rPr>
      </w:pPr>
      <w:r w:rsidRPr="0029403D">
        <w:rPr>
          <w:b/>
        </w:rPr>
        <w:t xml:space="preserve">ЭКСПЕРТНОЕ ЗАКЛЮЧЕНИЕ </w:t>
      </w:r>
    </w:p>
    <w:p w:rsidR="00E76D68"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E76D68" w:rsidRDefault="00E167F6" w:rsidP="00E76D68">
      <w:pPr>
        <w:pStyle w:val="ac"/>
        <w:ind w:firstLine="0"/>
        <w:rPr>
          <w:spacing w:val="-2"/>
          <w:sz w:val="24"/>
          <w:szCs w:val="24"/>
        </w:rPr>
      </w:pPr>
      <w:r w:rsidRPr="00E76D68">
        <w:rPr>
          <w:spacing w:val="-2"/>
          <w:sz w:val="24"/>
          <w:szCs w:val="24"/>
        </w:rPr>
        <w:t>Форпост-Каргат</w:t>
      </w:r>
      <w:r w:rsidR="00804797" w:rsidRPr="00E76D68">
        <w:rPr>
          <w:spacing w:val="-2"/>
          <w:sz w:val="24"/>
          <w:szCs w:val="24"/>
        </w:rPr>
        <w:t>ского сельсовета Каргатского района Новосибирской области</w:t>
      </w:r>
      <w:r w:rsidR="001E60F9" w:rsidRPr="00E76D68">
        <w:rPr>
          <w:spacing w:val="-2"/>
          <w:sz w:val="24"/>
          <w:szCs w:val="24"/>
        </w:rPr>
        <w:t xml:space="preserve"> за </w:t>
      </w:r>
      <w:r w:rsidR="00E5742F">
        <w:rPr>
          <w:spacing w:val="-2"/>
          <w:sz w:val="24"/>
          <w:szCs w:val="24"/>
        </w:rPr>
        <w:t>2015</w:t>
      </w:r>
      <w:r w:rsidR="001E60F9" w:rsidRPr="00E76D68">
        <w:rPr>
          <w:spacing w:val="-2"/>
          <w:sz w:val="24"/>
          <w:szCs w:val="24"/>
        </w:rPr>
        <w:t xml:space="preserve"> год</w:t>
      </w:r>
    </w:p>
    <w:p w:rsidR="004A3BC9" w:rsidRDefault="004A3BC9" w:rsidP="004A3BC9">
      <w:pPr>
        <w:pStyle w:val="a4"/>
        <w:spacing w:after="0"/>
        <w:ind w:left="7938"/>
        <w:jc w:val="right"/>
      </w:pPr>
    </w:p>
    <w:p w:rsidR="0033234C" w:rsidRDefault="004A3BC9" w:rsidP="004A3BC9">
      <w:pPr>
        <w:pStyle w:val="a4"/>
        <w:spacing w:before="120"/>
        <w:ind w:left="7938"/>
        <w:jc w:val="right"/>
      </w:pPr>
      <w:r>
        <w:t>29</w:t>
      </w:r>
      <w:r w:rsidR="009C61C5">
        <w:t>.0</w:t>
      </w:r>
      <w:r w:rsidR="00137D38">
        <w:t>4</w:t>
      </w:r>
      <w:r w:rsidR="0033234C">
        <w:t>.</w:t>
      </w:r>
      <w:r w:rsidR="00E5742F">
        <w:t>2016</w:t>
      </w:r>
    </w:p>
    <w:p w:rsidR="00080C19" w:rsidRPr="00612E7C" w:rsidRDefault="00080C19" w:rsidP="008C68A7">
      <w:pPr>
        <w:pStyle w:val="a4"/>
        <w:spacing w:after="0"/>
        <w:ind w:firstLine="567"/>
        <w:jc w:val="both"/>
      </w:pPr>
      <w:proofErr w:type="gramStart"/>
      <w:r w:rsidRPr="00612E7C">
        <w:t xml:space="preserve">Экспертное заключение </w:t>
      </w:r>
      <w:r w:rsidR="00506301" w:rsidRPr="00612E7C">
        <w:t xml:space="preserve">Ревизионной </w:t>
      </w:r>
      <w:r w:rsidR="00A17EE6" w:rsidRPr="00612E7C">
        <w:t>комиссии</w:t>
      </w:r>
      <w:r w:rsidR="00506301" w:rsidRPr="00612E7C">
        <w:t xml:space="preserve"> </w:t>
      </w:r>
      <w:r w:rsidR="00A17EE6" w:rsidRPr="00612E7C">
        <w:t>Каргатского</w:t>
      </w:r>
      <w:r w:rsidR="00506301" w:rsidRPr="00612E7C">
        <w:t xml:space="preserve"> района</w:t>
      </w:r>
      <w:r w:rsidR="00A17EE6" w:rsidRPr="00612E7C">
        <w:t xml:space="preserve"> </w:t>
      </w:r>
      <w:r w:rsidR="001F1C1B" w:rsidRPr="00612E7C">
        <w:t xml:space="preserve">по результатам внешней проверки годового отчёта об исполнении бюджета </w:t>
      </w:r>
      <w:r w:rsidR="00E167F6" w:rsidRPr="00612E7C">
        <w:t>Форпост-Каргат</w:t>
      </w:r>
      <w:r w:rsidR="001F1C1B" w:rsidRPr="00612E7C">
        <w:t xml:space="preserve">ского сельсовета Каргатского района Новосибирской области за </w:t>
      </w:r>
      <w:r w:rsidR="00E5742F">
        <w:t>2015</w:t>
      </w:r>
      <w:r w:rsidR="001F1C1B" w:rsidRPr="00612E7C">
        <w:t xml:space="preserve"> год</w:t>
      </w:r>
      <w:r w:rsidR="00E2681F" w:rsidRPr="00612E7C">
        <w:t xml:space="preserve"> (далее - </w:t>
      </w:r>
      <w:r w:rsidR="00135AAE" w:rsidRPr="00612E7C">
        <w:t>о</w:t>
      </w:r>
      <w:r w:rsidR="00E2681F" w:rsidRPr="00612E7C">
        <w:t>тчёт</w:t>
      </w:r>
      <w:r w:rsidR="00A17EE6" w:rsidRPr="00612E7C">
        <w:t xml:space="preserve"> </w:t>
      </w:r>
      <w:r w:rsidR="00E2681F" w:rsidRPr="00612E7C">
        <w:t>об исполнении</w:t>
      </w:r>
      <w:r w:rsidR="004812A7" w:rsidRPr="00612E7C">
        <w:t xml:space="preserve"> мес</w:t>
      </w:r>
      <w:r w:rsidR="004812A7" w:rsidRPr="00612E7C">
        <w:t>т</w:t>
      </w:r>
      <w:r w:rsidR="004812A7" w:rsidRPr="00612E7C">
        <w:t>ного</w:t>
      </w:r>
      <w:r w:rsidR="00E2681F" w:rsidRPr="00612E7C">
        <w:t xml:space="preserve"> бюджета за </w:t>
      </w:r>
      <w:r w:rsidR="00E5742F">
        <w:t>2015</w:t>
      </w:r>
      <w:r w:rsidR="00E2681F" w:rsidRPr="00612E7C">
        <w:t xml:space="preserve"> год) </w:t>
      </w:r>
      <w:r w:rsidRPr="00612E7C">
        <w:t>подготовлено в соответстви</w:t>
      </w:r>
      <w:r w:rsidR="00612E7C" w:rsidRPr="00612E7C">
        <w:t>е</w:t>
      </w:r>
      <w:r w:rsidR="009603FB" w:rsidRPr="00612E7C">
        <w:t xml:space="preserve"> стать</w:t>
      </w:r>
      <w:r w:rsidR="00612E7C" w:rsidRPr="00612E7C">
        <w:t>е</w:t>
      </w:r>
      <w:r w:rsidR="009603FB" w:rsidRPr="00612E7C">
        <w:t xml:space="preserve"> 264.4 Бюджетного кодекса </w:t>
      </w:r>
      <w:r w:rsidRPr="00612E7C">
        <w:t>Р</w:t>
      </w:r>
      <w:r w:rsidR="00A17EE6" w:rsidRPr="00612E7C">
        <w:t xml:space="preserve">оссийской </w:t>
      </w:r>
      <w:r w:rsidRPr="00612E7C">
        <w:t>Ф</w:t>
      </w:r>
      <w:r w:rsidR="00A17EE6" w:rsidRPr="00612E7C">
        <w:t>едерации</w:t>
      </w:r>
      <w:r w:rsidRPr="00612E7C">
        <w:t xml:space="preserve"> (</w:t>
      </w:r>
      <w:r w:rsidR="00A17EE6" w:rsidRPr="00612E7C">
        <w:t xml:space="preserve">далее – </w:t>
      </w:r>
      <w:r w:rsidRPr="00612E7C">
        <w:t xml:space="preserve">БК РФ), </w:t>
      </w:r>
      <w:r w:rsidR="0017696E" w:rsidRPr="00612E7C">
        <w:t>стать</w:t>
      </w:r>
      <w:r w:rsidR="00612E7C" w:rsidRPr="00612E7C">
        <w:t>е</w:t>
      </w:r>
      <w:r w:rsidR="0017696E" w:rsidRPr="00612E7C">
        <w:t xml:space="preserve"> 53 Положения</w:t>
      </w:r>
      <w:r w:rsidR="005A1015" w:rsidRPr="00612E7C">
        <w:t xml:space="preserve"> о</w:t>
      </w:r>
      <w:r w:rsidRPr="00612E7C">
        <w:t xml:space="preserve"> бюджетном</w:t>
      </w:r>
      <w:r w:rsidR="00422724" w:rsidRPr="00612E7C">
        <w:t xml:space="preserve"> устройстве и бюджетном</w:t>
      </w:r>
      <w:r w:rsidRPr="00612E7C">
        <w:t xml:space="preserve"> процессе в </w:t>
      </w:r>
      <w:r w:rsidR="00E167F6" w:rsidRPr="00612E7C">
        <w:t>Форпост-Каргат</w:t>
      </w:r>
      <w:r w:rsidR="005A1015" w:rsidRPr="00612E7C">
        <w:t>ск</w:t>
      </w:r>
      <w:r w:rsidR="00422724" w:rsidRPr="00612E7C">
        <w:t>ом</w:t>
      </w:r>
      <w:r w:rsidR="005A1015" w:rsidRPr="00612E7C">
        <w:t xml:space="preserve"> сельсовет</w:t>
      </w:r>
      <w:r w:rsidR="00422724" w:rsidRPr="00612E7C">
        <w:t>е</w:t>
      </w:r>
      <w:r w:rsidR="005A1015" w:rsidRPr="00612E7C">
        <w:t xml:space="preserve"> Каргатского района </w:t>
      </w:r>
      <w:r w:rsidRPr="00612E7C">
        <w:t>Новосибирской</w:t>
      </w:r>
      <w:proofErr w:type="gramEnd"/>
      <w:r w:rsidRPr="00612E7C">
        <w:t xml:space="preserve"> </w:t>
      </w:r>
      <w:proofErr w:type="gramStart"/>
      <w:r w:rsidRPr="00612E7C">
        <w:t>области</w:t>
      </w:r>
      <w:r w:rsidR="00F37687" w:rsidRPr="00612E7C">
        <w:t>, утверждённ</w:t>
      </w:r>
      <w:r w:rsidR="00C27431" w:rsidRPr="00612E7C">
        <w:t>ого</w:t>
      </w:r>
      <w:r w:rsidR="00F37687" w:rsidRPr="00612E7C">
        <w:t xml:space="preserve"> решением 4-й сессии 4 созыва Совета депутатов Форпост-Каргатского сельсовета Каргатского района Новосибирской области от </w:t>
      </w:r>
      <w:r w:rsidR="00F46D1E" w:rsidRPr="00612E7C">
        <w:t>08.10</w:t>
      </w:r>
      <w:r w:rsidR="00F37687" w:rsidRPr="00612E7C">
        <w:t>.</w:t>
      </w:r>
      <w:r w:rsidR="0033234C" w:rsidRPr="00612E7C">
        <w:t>201</w:t>
      </w:r>
      <w:r w:rsidR="00F1750B" w:rsidRPr="00612E7C">
        <w:t>0</w:t>
      </w:r>
      <w:r w:rsidR="00F37687" w:rsidRPr="00612E7C">
        <w:t xml:space="preserve"> № 2</w:t>
      </w:r>
      <w:r w:rsidR="00F46D1E" w:rsidRPr="00612E7C">
        <w:t>4</w:t>
      </w:r>
      <w:r w:rsidR="00F37687" w:rsidRPr="00612E7C">
        <w:t xml:space="preserve"> </w:t>
      </w:r>
      <w:r w:rsidRPr="00612E7C">
        <w:t>(</w:t>
      </w:r>
      <w:r w:rsidR="005A1015" w:rsidRPr="00612E7C">
        <w:t>д</w:t>
      </w:r>
      <w:r w:rsidR="005A1015" w:rsidRPr="00612E7C">
        <w:t>а</w:t>
      </w:r>
      <w:r w:rsidR="005A1015" w:rsidRPr="00612E7C">
        <w:t>лее – Положение о бюджетном процессе</w:t>
      </w:r>
      <w:r w:rsidR="00F46D1E" w:rsidRPr="00612E7C">
        <w:t xml:space="preserve">), </w:t>
      </w:r>
      <w:r w:rsidR="0033234C" w:rsidRPr="00612E7C">
        <w:t>пункт</w:t>
      </w:r>
      <w:r w:rsidR="00612E7C" w:rsidRPr="00612E7C">
        <w:t>у</w:t>
      </w:r>
      <w:r w:rsidR="0033234C" w:rsidRPr="00612E7C">
        <w:t xml:space="preserve"> 3 статьи 4 Положения о Ревизионной к</w:t>
      </w:r>
      <w:r w:rsidR="0033234C" w:rsidRPr="00612E7C">
        <w:t>о</w:t>
      </w:r>
      <w:r w:rsidR="0033234C" w:rsidRPr="00612E7C">
        <w:t>миссии Каргатского района Новосибирской области, утверждённ</w:t>
      </w:r>
      <w:r w:rsidR="00C27431" w:rsidRPr="00612E7C">
        <w:t>ого</w:t>
      </w:r>
      <w:r w:rsidR="0033234C" w:rsidRPr="00612E7C">
        <w:t xml:space="preserve"> решением 14 сессии 2 созыва Совета депутатов Каргатского района Новосибирской области от 23.11.</w:t>
      </w:r>
      <w:r w:rsidR="00C7646B" w:rsidRPr="00612E7C">
        <w:t>201</w:t>
      </w:r>
      <w:r w:rsidR="00C27431" w:rsidRPr="00612E7C">
        <w:t>1</w:t>
      </w:r>
      <w:r w:rsidR="0033234C" w:rsidRPr="00612E7C">
        <w:t xml:space="preserve"> № 157, пункт</w:t>
      </w:r>
      <w:r w:rsidR="00612E7C" w:rsidRPr="00612E7C">
        <w:t>у</w:t>
      </w:r>
      <w:r w:rsidR="0033234C" w:rsidRPr="00612E7C">
        <w:t xml:space="preserve"> 1 Соглашения о передаче полномочий ревизионной комиссии Каргатского района</w:t>
      </w:r>
      <w:proofErr w:type="gramEnd"/>
      <w:r w:rsidR="0033234C" w:rsidRPr="00612E7C">
        <w:t xml:space="preserve"> от </w:t>
      </w:r>
      <w:r w:rsidR="001C7EE2" w:rsidRPr="00612E7C">
        <w:t>14.03.</w:t>
      </w:r>
      <w:r w:rsidR="00E5742F">
        <w:t>2014</w:t>
      </w:r>
      <w:r w:rsidR="0033234C" w:rsidRPr="00612E7C">
        <w:t>, пункт</w:t>
      </w:r>
      <w:r w:rsidR="00612E7C" w:rsidRPr="00612E7C">
        <w:t>у</w:t>
      </w:r>
      <w:r w:rsidR="0033234C" w:rsidRPr="00612E7C">
        <w:t xml:space="preserve"> </w:t>
      </w:r>
      <w:r w:rsidR="00C27431" w:rsidRPr="00612E7C">
        <w:t>12</w:t>
      </w:r>
      <w:r w:rsidR="0033234C" w:rsidRPr="00612E7C">
        <w:t xml:space="preserve"> Плана работы Ревизионной комиссии Каргатского района на </w:t>
      </w:r>
      <w:r w:rsidR="00E5742F">
        <w:t>2016</w:t>
      </w:r>
      <w:r w:rsidR="0033234C" w:rsidRPr="00612E7C">
        <w:t xml:space="preserve"> год.</w:t>
      </w:r>
    </w:p>
    <w:p w:rsidR="00137D38" w:rsidRPr="0029403D" w:rsidRDefault="00137D38" w:rsidP="00594EF1">
      <w:pPr>
        <w:spacing w:before="40"/>
        <w:ind w:firstLine="567"/>
        <w:jc w:val="both"/>
      </w:pPr>
      <w:r w:rsidRPr="0029403D">
        <w:t xml:space="preserve">Отчёт об исполнении местного бюджета за </w:t>
      </w:r>
      <w:r w:rsidR="00E5742F">
        <w:t>2015</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w:t>
      </w:r>
      <w:r w:rsidRPr="0029403D">
        <w:t>стать</w:t>
      </w:r>
      <w:r>
        <w:t>и 264.4 БК РФ</w:t>
      </w:r>
      <w:r w:rsidRPr="0029403D">
        <w:t>.</w:t>
      </w:r>
    </w:p>
    <w:p w:rsidR="00137D38" w:rsidRPr="0029403D" w:rsidRDefault="00137D38" w:rsidP="00594EF1">
      <w:pPr>
        <w:spacing w:before="40"/>
        <w:ind w:firstLine="567"/>
        <w:jc w:val="both"/>
      </w:pPr>
      <w:r w:rsidRPr="0029403D">
        <w:t>В соответствие пункту 1 статьи 264.4 БК РФ:</w:t>
      </w:r>
    </w:p>
    <w:p w:rsidR="00137D38" w:rsidRDefault="00137D38" w:rsidP="00676100">
      <w:pPr>
        <w:autoSpaceDE w:val="0"/>
        <w:autoSpaceDN w:val="0"/>
        <w:adjustRightInd w:val="0"/>
        <w:spacing w:before="20"/>
        <w:ind w:firstLine="567"/>
        <w:jc w:val="both"/>
        <w:rPr>
          <w:i/>
          <w:sz w:val="20"/>
          <w:szCs w:val="20"/>
        </w:rPr>
      </w:pPr>
      <w:r w:rsidRPr="00B95059">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37D38" w:rsidRDefault="00137D38" w:rsidP="00594EF1">
      <w:pPr>
        <w:autoSpaceDE w:val="0"/>
        <w:autoSpaceDN w:val="0"/>
        <w:adjustRightInd w:val="0"/>
        <w:spacing w:before="4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676100">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E5742F">
        <w:t>2015</w:t>
      </w:r>
      <w:r w:rsidR="00607E5A" w:rsidRPr="0029403D">
        <w:t xml:space="preserve"> году</w:t>
      </w:r>
    </w:p>
    <w:p w:rsidR="00F66D86" w:rsidRPr="0029403D" w:rsidRDefault="00F66D86" w:rsidP="00676100">
      <w:pPr>
        <w:spacing w:before="40"/>
        <w:ind w:firstLine="567"/>
        <w:jc w:val="both"/>
      </w:pPr>
      <w:r w:rsidRPr="0029403D">
        <w:t>Площадь территории муниципального образования</w:t>
      </w:r>
      <w:r w:rsidR="002E13A6" w:rsidRPr="0029403D">
        <w:t xml:space="preserve"> составляет </w:t>
      </w:r>
      <w:r w:rsidR="00B46800">
        <w:t xml:space="preserve">31102 </w:t>
      </w:r>
      <w:r w:rsidR="00536FE3" w:rsidRPr="0029403D">
        <w:t>га, из них сельх</w:t>
      </w:r>
      <w:r w:rsidR="00536FE3" w:rsidRPr="0029403D">
        <w:t>о</w:t>
      </w:r>
      <w:r w:rsidR="00536FE3" w:rsidRPr="0029403D">
        <w:t xml:space="preserve">зугодия – </w:t>
      </w:r>
      <w:r w:rsidR="00B46800">
        <w:t>22571</w:t>
      </w:r>
      <w:r w:rsidR="00536FE3" w:rsidRPr="0029403D">
        <w:t xml:space="preserve"> га или </w:t>
      </w:r>
      <w:r w:rsidR="00B46800">
        <w:t>72,6</w:t>
      </w:r>
      <w:r w:rsidR="00536FE3" w:rsidRPr="0029403D">
        <w:t>%.</w:t>
      </w:r>
    </w:p>
    <w:p w:rsidR="00E5742F" w:rsidRPr="0029403D" w:rsidRDefault="00E5742F" w:rsidP="000D32E8">
      <w:pPr>
        <w:spacing w:before="40"/>
        <w:ind w:firstLine="567"/>
        <w:jc w:val="both"/>
      </w:pPr>
      <w:r w:rsidRPr="0029403D">
        <w:t xml:space="preserve">Площадь жилищного фонда – </w:t>
      </w:r>
      <w:r>
        <w:t>7,3</w:t>
      </w:r>
      <w:r w:rsidRPr="0029403D">
        <w:t xml:space="preserve"> тыс. м</w:t>
      </w:r>
      <w:proofErr w:type="gramStart"/>
      <w:r w:rsidRPr="0029403D">
        <w:rPr>
          <w:vertAlign w:val="superscript"/>
        </w:rPr>
        <w:t>2</w:t>
      </w:r>
      <w:proofErr w:type="gramEnd"/>
      <w:r w:rsidRPr="0029403D">
        <w:t>, в том числе площадь муниципального ж</w:t>
      </w:r>
      <w:r w:rsidRPr="0029403D">
        <w:t>и</w:t>
      </w:r>
      <w:r w:rsidRPr="0029403D">
        <w:t xml:space="preserve">лищного фонда – </w:t>
      </w:r>
      <w:r>
        <w:t>3,5</w:t>
      </w:r>
      <w:r w:rsidRPr="0029403D">
        <w:t xml:space="preserve"> тыс. м</w:t>
      </w:r>
      <w:r w:rsidRPr="0029403D">
        <w:rPr>
          <w:vertAlign w:val="superscript"/>
        </w:rPr>
        <w:t>2</w:t>
      </w:r>
      <w:r w:rsidRPr="0029403D">
        <w:t>.</w:t>
      </w:r>
    </w:p>
    <w:p w:rsidR="002E13A6" w:rsidRPr="0029403D" w:rsidRDefault="000F3980" w:rsidP="000D32E8">
      <w:pPr>
        <w:spacing w:before="40"/>
        <w:ind w:firstLine="567"/>
        <w:jc w:val="both"/>
      </w:pPr>
      <w:r w:rsidRPr="0029403D">
        <w:t xml:space="preserve">В состав </w:t>
      </w:r>
      <w:r w:rsidR="00E167F6">
        <w:t>Форпост-Каргат</w:t>
      </w:r>
      <w:r w:rsidRPr="0029403D">
        <w:t xml:space="preserve">ского сельсовета входят </w:t>
      </w:r>
      <w:r w:rsidR="00B46800">
        <w:t>три</w:t>
      </w:r>
      <w:r w:rsidRPr="0029403D">
        <w:t xml:space="preserve"> населённых пункт</w:t>
      </w:r>
      <w:r w:rsidR="00B46800">
        <w:t>а</w:t>
      </w:r>
      <w:r w:rsidRPr="0029403D">
        <w:t xml:space="preserve"> – </w:t>
      </w:r>
      <w:r w:rsidR="00175B20">
        <w:t xml:space="preserve">село </w:t>
      </w:r>
      <w:r w:rsidR="00E72C7D">
        <w:t>Фо</w:t>
      </w:r>
      <w:r w:rsidR="00E72C7D">
        <w:t>р</w:t>
      </w:r>
      <w:r w:rsidR="00E72C7D">
        <w:t>пост-Каргат</w:t>
      </w:r>
      <w:r w:rsidR="00175B20">
        <w:t xml:space="preserve">, посёлок </w:t>
      </w:r>
      <w:proofErr w:type="spellStart"/>
      <w:r w:rsidR="00E72C7D">
        <w:t>Теренино</w:t>
      </w:r>
      <w:proofErr w:type="spellEnd"/>
      <w:r w:rsidR="00175B20">
        <w:t xml:space="preserve">, </w:t>
      </w:r>
      <w:r w:rsidRPr="0029403D">
        <w:t>п</w:t>
      </w:r>
      <w:r w:rsidR="008158EE" w:rsidRPr="0029403D">
        <w:t>осёлок</w:t>
      </w:r>
      <w:r w:rsidR="00175B20">
        <w:t xml:space="preserve"> </w:t>
      </w:r>
      <w:proofErr w:type="spellStart"/>
      <w:r w:rsidR="00E72C7D">
        <w:t>Шибаки</w:t>
      </w:r>
      <w:proofErr w:type="spellEnd"/>
      <w:r w:rsidR="00BD3023">
        <w:t>.</w:t>
      </w:r>
    </w:p>
    <w:p w:rsidR="006366AE" w:rsidRPr="0029403D" w:rsidRDefault="006366AE" w:rsidP="000D32E8">
      <w:pPr>
        <w:spacing w:before="40"/>
        <w:ind w:firstLine="567"/>
        <w:jc w:val="both"/>
      </w:pPr>
      <w:r w:rsidRPr="0029403D">
        <w:t xml:space="preserve">На территории муниципального образования </w:t>
      </w:r>
      <w:r w:rsidR="002341D9">
        <w:t xml:space="preserve">нет </w:t>
      </w:r>
      <w:r w:rsidRPr="0029403D">
        <w:t>промышленн</w:t>
      </w:r>
      <w:r w:rsidR="002341D9">
        <w:t xml:space="preserve">ых и </w:t>
      </w:r>
      <w:r w:rsidR="002341D9" w:rsidRPr="0029403D">
        <w:t>сельскохозяйстве</w:t>
      </w:r>
      <w:r w:rsidR="002341D9" w:rsidRPr="0029403D">
        <w:t>н</w:t>
      </w:r>
      <w:r w:rsidR="002341D9" w:rsidRPr="0029403D">
        <w:t xml:space="preserve">ных </w:t>
      </w:r>
      <w:r w:rsidRPr="0029403D">
        <w:t>предприяти</w:t>
      </w:r>
      <w:r w:rsidR="002341D9">
        <w:t>й</w:t>
      </w:r>
      <w:r w:rsidRPr="0029403D">
        <w:t>, крестьянско-фермерских хозяйств</w:t>
      </w:r>
      <w:r w:rsidR="00D60C3B" w:rsidRPr="0029403D">
        <w:t>.</w:t>
      </w:r>
      <w:r w:rsidR="00E26B33" w:rsidRPr="0029403D">
        <w:t xml:space="preserve"> </w:t>
      </w:r>
    </w:p>
    <w:p w:rsidR="008D09B0" w:rsidRPr="0029403D" w:rsidRDefault="00034F90" w:rsidP="000D32E8">
      <w:pPr>
        <w:spacing w:before="40"/>
        <w:ind w:firstLine="567"/>
        <w:jc w:val="both"/>
      </w:pPr>
      <w:r w:rsidRPr="0029403D">
        <w:t xml:space="preserve">В течение </w:t>
      </w:r>
      <w:r w:rsidR="00E5742F">
        <w:t>2013</w:t>
      </w:r>
      <w:r w:rsidRPr="0029403D">
        <w:t>-</w:t>
      </w:r>
      <w:r w:rsidR="00E5742F">
        <w:t>2015</w:t>
      </w:r>
      <w:r w:rsidRPr="0029403D">
        <w:t xml:space="preserve"> годов продолжает уменьшаться численность населения, с </w:t>
      </w:r>
      <w:r w:rsidR="00E5742F">
        <w:t>364</w:t>
      </w:r>
      <w:r w:rsidRPr="0029403D">
        <w:t xml:space="preserve"> до </w:t>
      </w:r>
      <w:r w:rsidR="00E5742F">
        <w:t>339</w:t>
      </w:r>
      <w:r w:rsidRPr="0029403D">
        <w:t xml:space="preserve"> человек. </w:t>
      </w:r>
      <w:r w:rsidR="00E5742F">
        <w:t>Обратная</w:t>
      </w:r>
      <w:r w:rsidRPr="0029403D">
        <w:t xml:space="preserve"> </w:t>
      </w:r>
      <w:r w:rsidR="008D09B0" w:rsidRPr="0029403D">
        <w:t xml:space="preserve">тенденция в ситуации с </w:t>
      </w:r>
      <w:r w:rsidR="000D32E8">
        <w:t xml:space="preserve">трудовыми </w:t>
      </w:r>
      <w:r w:rsidR="008D09B0" w:rsidRPr="0029403D">
        <w:t>ресурсами</w:t>
      </w:r>
      <w:r w:rsidR="00A41AB9">
        <w:t xml:space="preserve">, </w:t>
      </w:r>
      <w:r w:rsidR="00E5742F">
        <w:t>увелич</w:t>
      </w:r>
      <w:r w:rsidR="00E5742F">
        <w:t>е</w:t>
      </w:r>
      <w:r w:rsidR="00E5742F">
        <w:t>ние</w:t>
      </w:r>
      <w:r w:rsidR="008D09B0" w:rsidRPr="0029403D">
        <w:t xml:space="preserve"> с </w:t>
      </w:r>
      <w:r w:rsidR="00E5742F">
        <w:t>223</w:t>
      </w:r>
      <w:r w:rsidR="008D09B0" w:rsidRPr="0029403D">
        <w:t xml:space="preserve"> до </w:t>
      </w:r>
      <w:r w:rsidR="00E5742F">
        <w:t>235</w:t>
      </w:r>
      <w:r w:rsidR="008D09B0" w:rsidRPr="0029403D">
        <w:t xml:space="preserve"> человек.</w:t>
      </w:r>
    </w:p>
    <w:p w:rsidR="00607E5A" w:rsidRPr="0029403D" w:rsidRDefault="00E5742F" w:rsidP="000D32E8">
      <w:pPr>
        <w:spacing w:before="40"/>
        <w:ind w:firstLine="567"/>
        <w:jc w:val="both"/>
      </w:pPr>
      <w:r>
        <w:t>С</w:t>
      </w:r>
      <w:r w:rsidR="00E96C9A" w:rsidRPr="0029403D">
        <w:t xml:space="preserve">редняя заработная плата увеличивается ежегодно: с </w:t>
      </w:r>
      <w:r>
        <w:t>13200</w:t>
      </w:r>
      <w:r w:rsidR="00E96C9A" w:rsidRPr="0029403D">
        <w:t xml:space="preserve"> </w:t>
      </w:r>
      <w:r w:rsidR="00CA485C" w:rsidRPr="0029403D">
        <w:t>руб.</w:t>
      </w:r>
      <w:r w:rsidR="00E96C9A" w:rsidRPr="0029403D">
        <w:t xml:space="preserve"> в </w:t>
      </w:r>
      <w:r>
        <w:t>2013</w:t>
      </w:r>
      <w:r w:rsidR="00E96C9A" w:rsidRPr="0029403D">
        <w:t xml:space="preserve"> году д</w:t>
      </w:r>
      <w:r w:rsidR="004E4E7D">
        <w:t>о</w:t>
      </w:r>
      <w:r w:rsidR="00E96C9A" w:rsidRPr="0029403D">
        <w:t xml:space="preserve"> </w:t>
      </w:r>
      <w:r>
        <w:t>15080</w:t>
      </w:r>
      <w:r w:rsidR="00E96C9A" w:rsidRPr="0029403D">
        <w:t xml:space="preserve"> </w:t>
      </w:r>
      <w:r w:rsidR="00CA485C" w:rsidRPr="0029403D">
        <w:t>руб.</w:t>
      </w:r>
      <w:r w:rsidR="00E96C9A" w:rsidRPr="0029403D">
        <w:t xml:space="preserve"> в </w:t>
      </w:r>
      <w:r>
        <w:t>2015</w:t>
      </w:r>
      <w:r w:rsidR="00E96C9A" w:rsidRPr="0029403D">
        <w:t xml:space="preserve"> году. </w:t>
      </w:r>
      <w:r w:rsidR="00A60E94" w:rsidRPr="0029403D">
        <w:t>Д</w:t>
      </w:r>
      <w:r w:rsidR="00686437" w:rsidRPr="0029403D">
        <w:t>анный факт объясняется</w:t>
      </w:r>
      <w:r w:rsidR="00A60E94" w:rsidRPr="0029403D">
        <w:t xml:space="preserve"> </w:t>
      </w:r>
      <w:r w:rsidR="00686437" w:rsidRPr="0029403D">
        <w:t>повышением заработной платы работникам бюджетной сферы</w:t>
      </w:r>
      <w:r w:rsidR="0017023D" w:rsidRPr="0029403D">
        <w:t>.</w:t>
      </w:r>
    </w:p>
    <w:p w:rsidR="006628FF" w:rsidRPr="0029403D" w:rsidRDefault="0002517C" w:rsidP="00676100">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E5742F">
        <w:t>2015</w:t>
      </w:r>
      <w:r w:rsidRPr="0029403D">
        <w:t xml:space="preserve"> году</w:t>
      </w:r>
    </w:p>
    <w:p w:rsidR="0002517C" w:rsidRPr="0029403D" w:rsidRDefault="00596CD7" w:rsidP="00676100">
      <w:pPr>
        <w:spacing w:before="4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5F4061">
        <w:t>бюджетные полномочия</w:t>
      </w:r>
      <w:r w:rsidR="005F4061" w:rsidRPr="0029403D">
        <w:t xml:space="preserve"> администрация </w:t>
      </w:r>
      <w:r w:rsidR="005F4061">
        <w:t>Форпост</w:t>
      </w:r>
      <w:r w:rsidR="005F4061" w:rsidRPr="0029403D">
        <w:t>-Каргатского сельсовета</w:t>
      </w:r>
      <w:r w:rsidR="005F4061">
        <w:t xml:space="preserve"> исполняет</w:t>
      </w:r>
      <w:r w:rsidR="005F4061" w:rsidRPr="0029403D">
        <w:t xml:space="preserve"> в соответствии со </w:t>
      </w:r>
      <w:r w:rsidR="005F4061" w:rsidRPr="00704C9D">
        <w:t xml:space="preserve">статьёй </w:t>
      </w:r>
      <w:r w:rsidR="00C473F5" w:rsidRPr="0029403D">
        <w:t>32 Положения о бюджетном процессе</w:t>
      </w:r>
      <w:r w:rsidR="00C647CB" w:rsidRPr="0029403D">
        <w:t xml:space="preserve">; </w:t>
      </w:r>
      <w:r w:rsidR="007026D6" w:rsidRPr="0029403D">
        <w:t>утверждён пер</w:t>
      </w:r>
      <w:r w:rsidR="007026D6" w:rsidRPr="0029403D">
        <w:t>е</w:t>
      </w:r>
      <w:r w:rsidR="007026D6" w:rsidRPr="0029403D">
        <w:t>чень</w:t>
      </w:r>
      <w:r w:rsidR="0002517C" w:rsidRPr="0029403D">
        <w:t xml:space="preserve"> получателей</w:t>
      </w:r>
      <w:r w:rsidR="007026D6" w:rsidRPr="0029403D">
        <w:t xml:space="preserve"> средств местного бюджета (администрация </w:t>
      </w:r>
      <w:r w:rsidR="00E167F6">
        <w:t>Форпост-Каргат</w:t>
      </w:r>
      <w:r w:rsidR="007026D6" w:rsidRPr="0029403D">
        <w:t>ского сельс</w:t>
      </w:r>
      <w:r w:rsidR="007026D6" w:rsidRPr="0029403D">
        <w:t>о</w:t>
      </w:r>
      <w:r w:rsidR="007026D6" w:rsidRPr="0029403D">
        <w:t>вета</w:t>
      </w:r>
      <w:r w:rsidR="0002517C" w:rsidRPr="0029403D">
        <w:t>,</w:t>
      </w:r>
      <w:r w:rsidR="007026D6" w:rsidRPr="0029403D">
        <w:t xml:space="preserve"> </w:t>
      </w:r>
      <w:r w:rsidR="00E5742F">
        <w:t>МКУК</w:t>
      </w:r>
      <w:r w:rsidR="003544B4" w:rsidRPr="0029403D">
        <w:t xml:space="preserve"> «</w:t>
      </w:r>
      <w:r w:rsidR="003544B4">
        <w:t>Форпост</w:t>
      </w:r>
      <w:r w:rsidR="003544B4" w:rsidRPr="0029403D">
        <w:t>-Каргатский социально-культурный комплекс»</w:t>
      </w:r>
      <w:r w:rsidR="007026D6" w:rsidRPr="0029403D">
        <w:t>)</w:t>
      </w:r>
      <w:r w:rsidR="0002517C" w:rsidRPr="0029403D">
        <w:t>, соблюд</w:t>
      </w:r>
      <w:r w:rsidR="00007D23" w:rsidRPr="0029403D">
        <w:t>ается</w:t>
      </w:r>
      <w:r w:rsidR="0002517C" w:rsidRPr="0029403D">
        <w:t xml:space="preserve"> принцип подведомственности при финансировании (отсутствие среди получателей коммерческих о</w:t>
      </w:r>
      <w:r w:rsidR="0002517C" w:rsidRPr="0029403D">
        <w:t>р</w:t>
      </w:r>
      <w:r w:rsidR="0002517C" w:rsidRPr="0029403D">
        <w:t>ганизаций, учреждений других бюджетов</w:t>
      </w:r>
      <w:r w:rsidR="00007D23" w:rsidRPr="0029403D">
        <w:t>)</w:t>
      </w:r>
      <w:r w:rsidR="0002517C" w:rsidRPr="0029403D">
        <w:t>.</w:t>
      </w:r>
      <w:proofErr w:type="gramEnd"/>
    </w:p>
    <w:p w:rsidR="000A4A24" w:rsidRPr="0029403D" w:rsidRDefault="00596CD7" w:rsidP="00676100">
      <w:pPr>
        <w:spacing w:before="4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4C5150" w:rsidRDefault="00596CD7" w:rsidP="00676100">
      <w:pPr>
        <w:pStyle w:val="ConsNormal"/>
        <w:widowControl/>
        <w:tabs>
          <w:tab w:val="left" w:pos="1800"/>
        </w:tabs>
        <w:spacing w:before="40"/>
        <w:ind w:firstLine="567"/>
        <w:jc w:val="both"/>
        <w:rPr>
          <w:rFonts w:ascii="Times New Roman" w:hAnsi="Times New Roman"/>
          <w:sz w:val="24"/>
          <w:szCs w:val="24"/>
        </w:rPr>
      </w:pPr>
      <w:r w:rsidRPr="002715B0">
        <w:rPr>
          <w:rFonts w:ascii="Times New Roman" w:hAnsi="Times New Roman"/>
          <w:sz w:val="24"/>
          <w:szCs w:val="24"/>
        </w:rPr>
        <w:t>2.</w:t>
      </w:r>
      <w:r w:rsidR="004E3D6E" w:rsidRPr="002715B0">
        <w:rPr>
          <w:rFonts w:ascii="Times New Roman" w:hAnsi="Times New Roman"/>
          <w:sz w:val="24"/>
          <w:szCs w:val="24"/>
        </w:rPr>
        <w:t xml:space="preserve">3. </w:t>
      </w:r>
      <w:r w:rsidR="00925C41" w:rsidRPr="002715B0">
        <w:rPr>
          <w:rFonts w:ascii="Times New Roman" w:hAnsi="Times New Roman"/>
          <w:sz w:val="24"/>
          <w:szCs w:val="24"/>
        </w:rPr>
        <w:t>Размещение заказа на поставку товаров, работ, услуг для государственных и мун</w:t>
      </w:r>
      <w:r w:rsidR="00925C41" w:rsidRPr="002715B0">
        <w:rPr>
          <w:rFonts w:ascii="Times New Roman" w:hAnsi="Times New Roman"/>
          <w:sz w:val="24"/>
          <w:szCs w:val="24"/>
        </w:rPr>
        <w:t>и</w:t>
      </w:r>
      <w:r w:rsidR="00925C41" w:rsidRPr="002715B0">
        <w:rPr>
          <w:rFonts w:ascii="Times New Roman" w:hAnsi="Times New Roman"/>
          <w:sz w:val="24"/>
          <w:szCs w:val="24"/>
        </w:rPr>
        <w:t xml:space="preserve">ципальных нужд производится в соответствие с </w:t>
      </w:r>
      <w:r w:rsidR="002715B0" w:rsidRPr="002715B0">
        <w:rPr>
          <w:rFonts w:ascii="Times New Roman" w:hAnsi="Times New Roman"/>
          <w:sz w:val="24"/>
          <w:szCs w:val="24"/>
        </w:rPr>
        <w:t xml:space="preserve">Федеральным законом </w:t>
      </w:r>
      <w:r w:rsidR="00594EF1" w:rsidRPr="002715B0">
        <w:rPr>
          <w:rFonts w:ascii="Times New Roman" w:hAnsi="Times New Roman"/>
          <w:sz w:val="24"/>
          <w:szCs w:val="24"/>
        </w:rPr>
        <w:t xml:space="preserve">от </w:t>
      </w:r>
      <w:r w:rsidR="00594EF1">
        <w:rPr>
          <w:rFonts w:ascii="Times New Roman" w:hAnsi="Times New Roman"/>
          <w:sz w:val="24"/>
          <w:szCs w:val="24"/>
        </w:rPr>
        <w:t>05</w:t>
      </w:r>
      <w:r w:rsidR="00594EF1" w:rsidRPr="002715B0">
        <w:rPr>
          <w:rFonts w:ascii="Times New Roman" w:hAnsi="Times New Roman"/>
          <w:sz w:val="24"/>
          <w:szCs w:val="24"/>
        </w:rPr>
        <w:t>.0</w:t>
      </w:r>
      <w:r w:rsidR="00594EF1">
        <w:rPr>
          <w:rFonts w:ascii="Times New Roman" w:hAnsi="Times New Roman"/>
          <w:sz w:val="24"/>
          <w:szCs w:val="24"/>
        </w:rPr>
        <w:t>4</w:t>
      </w:r>
      <w:r w:rsidR="00594EF1" w:rsidRPr="002715B0">
        <w:rPr>
          <w:rFonts w:ascii="Times New Roman" w:hAnsi="Times New Roman"/>
          <w:sz w:val="24"/>
          <w:szCs w:val="24"/>
        </w:rPr>
        <w:t>.</w:t>
      </w:r>
      <w:r w:rsidR="00E5742F">
        <w:rPr>
          <w:rFonts w:ascii="Times New Roman" w:hAnsi="Times New Roman"/>
          <w:sz w:val="24"/>
          <w:szCs w:val="24"/>
        </w:rPr>
        <w:t>2014</w:t>
      </w:r>
      <w:r w:rsidR="00594EF1" w:rsidRPr="002715B0">
        <w:rPr>
          <w:rFonts w:ascii="Times New Roman" w:hAnsi="Times New Roman"/>
          <w:sz w:val="24"/>
          <w:szCs w:val="24"/>
        </w:rPr>
        <w:t xml:space="preserve"> </w:t>
      </w:r>
      <w:r w:rsidR="00594EF1">
        <w:rPr>
          <w:rFonts w:ascii="Times New Roman" w:hAnsi="Times New Roman"/>
          <w:sz w:val="24"/>
          <w:szCs w:val="24"/>
        </w:rPr>
        <w:t>№</w:t>
      </w:r>
      <w:r w:rsidR="00594EF1" w:rsidRPr="002715B0">
        <w:rPr>
          <w:rFonts w:ascii="Times New Roman" w:hAnsi="Times New Roman"/>
          <w:sz w:val="24"/>
          <w:szCs w:val="24"/>
        </w:rPr>
        <w:t xml:space="preserve"> </w:t>
      </w:r>
      <w:r w:rsidR="00594EF1">
        <w:rPr>
          <w:rFonts w:ascii="Times New Roman" w:hAnsi="Times New Roman"/>
          <w:sz w:val="24"/>
          <w:szCs w:val="24"/>
        </w:rPr>
        <w:t>4</w:t>
      </w:r>
      <w:r w:rsidR="00594EF1" w:rsidRPr="002715B0">
        <w:rPr>
          <w:rFonts w:ascii="Times New Roman" w:hAnsi="Times New Roman"/>
          <w:sz w:val="24"/>
          <w:szCs w:val="24"/>
        </w:rPr>
        <w:t xml:space="preserve">4-ФЗ «О </w:t>
      </w:r>
      <w:r w:rsidR="00594EF1">
        <w:rPr>
          <w:rFonts w:ascii="Times New Roman" w:hAnsi="Times New Roman"/>
          <w:sz w:val="24"/>
          <w:szCs w:val="24"/>
        </w:rPr>
        <w:t>контрактной системе в сфере закупок</w:t>
      </w:r>
      <w:r w:rsidR="00594EF1" w:rsidRPr="002715B0">
        <w:rPr>
          <w:rFonts w:ascii="Times New Roman" w:hAnsi="Times New Roman"/>
          <w:sz w:val="24"/>
          <w:szCs w:val="24"/>
        </w:rPr>
        <w:t xml:space="preserve"> товаров, работ, услуг для </w:t>
      </w:r>
      <w:r w:rsidR="00594EF1">
        <w:rPr>
          <w:rFonts w:ascii="Times New Roman" w:hAnsi="Times New Roman"/>
          <w:sz w:val="24"/>
          <w:szCs w:val="24"/>
        </w:rPr>
        <w:t xml:space="preserve">обеспечения </w:t>
      </w:r>
      <w:r w:rsidR="00594EF1" w:rsidRPr="002715B0">
        <w:rPr>
          <w:rFonts w:ascii="Times New Roman" w:hAnsi="Times New Roman"/>
          <w:sz w:val="24"/>
          <w:szCs w:val="24"/>
        </w:rPr>
        <w:t>госуда</w:t>
      </w:r>
      <w:r w:rsidR="00594EF1" w:rsidRPr="002715B0">
        <w:rPr>
          <w:rFonts w:ascii="Times New Roman" w:hAnsi="Times New Roman"/>
          <w:sz w:val="24"/>
          <w:szCs w:val="24"/>
        </w:rPr>
        <w:t>р</w:t>
      </w:r>
      <w:r w:rsidR="00594EF1" w:rsidRPr="002715B0">
        <w:rPr>
          <w:rFonts w:ascii="Times New Roman" w:hAnsi="Times New Roman"/>
          <w:sz w:val="24"/>
          <w:szCs w:val="24"/>
        </w:rPr>
        <w:t>ственных и муниципальных нужд»</w:t>
      </w:r>
      <w:r w:rsidR="00594EF1">
        <w:rPr>
          <w:rFonts w:ascii="Times New Roman" w:hAnsi="Times New Roman"/>
          <w:sz w:val="24"/>
          <w:szCs w:val="24"/>
        </w:rPr>
        <w:t>.</w:t>
      </w:r>
    </w:p>
    <w:p w:rsidR="008E19D9" w:rsidRPr="005128C4" w:rsidRDefault="008E19D9" w:rsidP="00676100">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w:t>
      </w:r>
      <w:r w:rsidR="00E5742F">
        <w:rPr>
          <w:rFonts w:ascii="Times New Roman" w:hAnsi="Times New Roman"/>
          <w:b/>
          <w:i/>
          <w:sz w:val="24"/>
          <w:szCs w:val="24"/>
        </w:rPr>
        <w:t>2014</w:t>
      </w:r>
      <w:r w:rsidRPr="000C129B">
        <w:rPr>
          <w:rFonts w:ascii="Times New Roman" w:hAnsi="Times New Roman"/>
          <w:b/>
          <w:i/>
          <w:sz w:val="24"/>
          <w:szCs w:val="24"/>
        </w:rPr>
        <w:t xml:space="preserve"> № 44-ФЗ:</w:t>
      </w:r>
    </w:p>
    <w:p w:rsidR="008E19D9" w:rsidRPr="000C129B" w:rsidRDefault="008E19D9" w:rsidP="00676100">
      <w:pPr>
        <w:widowControl w:val="0"/>
        <w:autoSpaceDE w:val="0"/>
        <w:autoSpaceDN w:val="0"/>
        <w:adjustRightInd w:val="0"/>
        <w:spacing w:before="2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8E19D9" w:rsidRPr="000C129B" w:rsidRDefault="008E19D9" w:rsidP="008E19D9">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8E19D9" w:rsidRDefault="008E19D9" w:rsidP="00AD6932">
      <w:pPr>
        <w:pStyle w:val="ConsPlusNormal"/>
        <w:spacing w:before="6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8E19D9" w:rsidRDefault="008E19D9" w:rsidP="00AD6932">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- 29.08.</w:t>
      </w:r>
      <w:r w:rsidR="00E5742F">
        <w:rPr>
          <w:rFonts w:ascii="Times New Roman" w:hAnsi="Times New Roman" w:cs="Times New Roman"/>
          <w:sz w:val="24"/>
          <w:szCs w:val="24"/>
        </w:rPr>
        <w:t>2015</w:t>
      </w:r>
      <w:r>
        <w:rPr>
          <w:rFonts w:ascii="Times New Roman" w:hAnsi="Times New Roman" w:cs="Times New Roman"/>
          <w:sz w:val="24"/>
          <w:szCs w:val="24"/>
        </w:rPr>
        <w:t xml:space="preserve"> ООО «</w:t>
      </w:r>
      <w:r w:rsidR="00E5742F">
        <w:rPr>
          <w:rFonts w:ascii="Times New Roman" w:hAnsi="Times New Roman" w:cs="Times New Roman"/>
          <w:sz w:val="24"/>
          <w:szCs w:val="24"/>
        </w:rPr>
        <w:t>СТК-54</w:t>
      </w:r>
      <w:r>
        <w:rPr>
          <w:rFonts w:ascii="Times New Roman" w:hAnsi="Times New Roman" w:cs="Times New Roman"/>
          <w:sz w:val="24"/>
          <w:szCs w:val="24"/>
        </w:rPr>
        <w:t xml:space="preserve">» – </w:t>
      </w:r>
      <w:r w:rsidR="00E5742F">
        <w:rPr>
          <w:rFonts w:ascii="Times New Roman" w:hAnsi="Times New Roman" w:cs="Times New Roman"/>
          <w:sz w:val="24"/>
          <w:szCs w:val="24"/>
        </w:rPr>
        <w:t>344</w:t>
      </w:r>
      <w:r>
        <w:rPr>
          <w:rFonts w:ascii="Times New Roman" w:hAnsi="Times New Roman" w:cs="Times New Roman"/>
          <w:sz w:val="24"/>
          <w:szCs w:val="24"/>
        </w:rPr>
        <w:t> </w:t>
      </w:r>
      <w:r w:rsidR="00E5742F">
        <w:rPr>
          <w:rFonts w:ascii="Times New Roman" w:hAnsi="Times New Roman" w:cs="Times New Roman"/>
          <w:sz w:val="24"/>
          <w:szCs w:val="24"/>
        </w:rPr>
        <w:t>000,00 руб.</w:t>
      </w:r>
    </w:p>
    <w:p w:rsidR="00587794" w:rsidRPr="0029403D" w:rsidRDefault="00CF25D2" w:rsidP="00E5742F">
      <w:pPr>
        <w:pStyle w:val="ConsPlusNormal"/>
        <w:spacing w:before="60"/>
        <w:ind w:firstLine="540"/>
        <w:jc w:val="both"/>
        <w:rPr>
          <w:rFonts w:ascii="Times New Roman" w:hAnsi="Times New Roman" w:cs="Times New Roman"/>
          <w:sz w:val="24"/>
          <w:szCs w:val="24"/>
        </w:rPr>
      </w:pPr>
      <w:r>
        <w:rPr>
          <w:rFonts w:ascii="Times New Roman" w:hAnsi="Times New Roman" w:cs="Times New Roman"/>
          <w:sz w:val="24"/>
          <w:szCs w:val="24"/>
        </w:rPr>
        <w:t>Р</w:t>
      </w:r>
      <w:r w:rsidR="000634AC" w:rsidRPr="0029403D">
        <w:rPr>
          <w:rFonts w:ascii="Times New Roman" w:hAnsi="Times New Roman" w:cs="Times New Roman"/>
          <w:sz w:val="24"/>
          <w:szCs w:val="24"/>
        </w:rPr>
        <w:t xml:space="preserve">еестр закупок </w:t>
      </w:r>
      <w:r>
        <w:rPr>
          <w:rFonts w:ascii="Times New Roman" w:hAnsi="Times New Roman" w:cs="Times New Roman"/>
          <w:sz w:val="24"/>
          <w:szCs w:val="24"/>
        </w:rPr>
        <w:t>соответствует</w:t>
      </w:r>
      <w:r w:rsidR="002B068C" w:rsidRPr="0029403D">
        <w:rPr>
          <w:rFonts w:ascii="Times New Roman" w:hAnsi="Times New Roman" w:cs="Times New Roman"/>
          <w:sz w:val="24"/>
          <w:szCs w:val="24"/>
        </w:rPr>
        <w:t xml:space="preserve"> пункт</w:t>
      </w:r>
      <w:r>
        <w:rPr>
          <w:rFonts w:ascii="Times New Roman" w:hAnsi="Times New Roman" w:cs="Times New Roman"/>
          <w:sz w:val="24"/>
          <w:szCs w:val="24"/>
        </w:rPr>
        <w:t>у</w:t>
      </w:r>
      <w:r w:rsidR="002B068C" w:rsidRPr="0029403D">
        <w:rPr>
          <w:rFonts w:ascii="Times New Roman" w:hAnsi="Times New Roman" w:cs="Times New Roman"/>
          <w:sz w:val="24"/>
          <w:szCs w:val="24"/>
        </w:rPr>
        <w:t xml:space="preserve"> 2 статьи 73 БК РФ:</w:t>
      </w:r>
    </w:p>
    <w:p w:rsidR="002B068C" w:rsidRPr="0033234C" w:rsidRDefault="002B068C" w:rsidP="00676100">
      <w:pPr>
        <w:pStyle w:val="ConsPlusNormal"/>
        <w:spacing w:before="20"/>
        <w:ind w:firstLine="567"/>
        <w:jc w:val="both"/>
        <w:rPr>
          <w:rFonts w:ascii="Times New Roman" w:hAnsi="Times New Roman" w:cs="Times New Roman"/>
          <w:i/>
        </w:rPr>
      </w:pPr>
      <w:r w:rsidRPr="0033234C">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2B068C" w:rsidRPr="0033234C" w:rsidRDefault="002B068C" w:rsidP="00BD4EF3">
      <w:pPr>
        <w:pStyle w:val="ConsPlusNormal"/>
        <w:ind w:firstLine="567"/>
        <w:jc w:val="both"/>
        <w:rPr>
          <w:rFonts w:ascii="Times New Roman" w:hAnsi="Times New Roman" w:cs="Times New Roman"/>
          <w:i/>
        </w:rPr>
      </w:pPr>
      <w:r w:rsidRPr="0033234C">
        <w:rPr>
          <w:rFonts w:ascii="Times New Roman" w:hAnsi="Times New Roman" w:cs="Times New Roman"/>
          <w:i/>
        </w:rPr>
        <w:t>краткое наименование закупаемых товаров, работ и услуг;</w:t>
      </w:r>
    </w:p>
    <w:p w:rsidR="002B068C" w:rsidRPr="0033234C" w:rsidRDefault="002B068C" w:rsidP="00BD4EF3">
      <w:pPr>
        <w:pStyle w:val="ConsPlusNormal"/>
        <w:ind w:firstLine="567"/>
        <w:jc w:val="both"/>
        <w:rPr>
          <w:rFonts w:ascii="Times New Roman" w:hAnsi="Times New Roman" w:cs="Times New Roman"/>
          <w:i/>
        </w:rPr>
      </w:pPr>
      <w:r w:rsidRPr="0033234C">
        <w:rPr>
          <w:rFonts w:ascii="Times New Roman" w:hAnsi="Times New Roman" w:cs="Times New Roman"/>
          <w:i/>
        </w:rPr>
        <w:t>наименование и местонахождение поставщиков, подрядчиков и исполнителей услуг;</w:t>
      </w:r>
    </w:p>
    <w:p w:rsidR="002B068C" w:rsidRPr="0033234C" w:rsidRDefault="002B068C" w:rsidP="00BD4EF3">
      <w:pPr>
        <w:pStyle w:val="ConsPlusNormal"/>
        <w:ind w:firstLine="567"/>
        <w:jc w:val="both"/>
        <w:rPr>
          <w:rFonts w:ascii="Times New Roman" w:hAnsi="Times New Roman" w:cs="Times New Roman"/>
          <w:i/>
        </w:rPr>
      </w:pPr>
      <w:r w:rsidRPr="0033234C">
        <w:rPr>
          <w:rFonts w:ascii="Times New Roman" w:hAnsi="Times New Roman" w:cs="Times New Roman"/>
          <w:i/>
        </w:rPr>
        <w:t>цена и дата закупки».</w:t>
      </w:r>
    </w:p>
    <w:p w:rsidR="000F4243" w:rsidRPr="0029403D" w:rsidRDefault="00596CD7" w:rsidP="00E5742F">
      <w:pPr>
        <w:spacing w:before="60"/>
        <w:ind w:firstLine="567"/>
        <w:jc w:val="both"/>
      </w:pPr>
      <w:r w:rsidRPr="0029403D">
        <w:t>2.</w:t>
      </w:r>
      <w:r w:rsidR="00936AF6">
        <w:t>4</w:t>
      </w:r>
      <w:r w:rsidR="00782AEC" w:rsidRPr="0029403D">
        <w:t xml:space="preserve">. </w:t>
      </w:r>
      <w:r w:rsidR="00C72D66" w:rsidRPr="0029403D">
        <w:t>Проанализировано</w:t>
      </w:r>
      <w:r w:rsidR="00782AEC" w:rsidRPr="0029403D">
        <w:t xml:space="preserve"> общее соответствие бюджетной отчетности требованиям, предъявляемым Инструкцией, утвержденной Приказом Минфина РФ № </w:t>
      </w:r>
      <w:r w:rsidR="00B1297E" w:rsidRPr="0029403D">
        <w:t>191</w:t>
      </w:r>
      <w:r w:rsidR="00782AEC" w:rsidRPr="0029403D">
        <w:t>н от 2</w:t>
      </w:r>
      <w:r w:rsidR="00B1297E" w:rsidRPr="0029403D">
        <w:t>8</w:t>
      </w:r>
      <w:r w:rsidR="00782AEC" w:rsidRPr="0029403D">
        <w:t>.1</w:t>
      </w:r>
      <w:r w:rsidR="00B1297E" w:rsidRPr="0029403D">
        <w:t>2</w:t>
      </w:r>
      <w:r w:rsidR="00782AEC" w:rsidRPr="0029403D">
        <w:t>.</w:t>
      </w:r>
      <w:r w:rsidR="0033234C">
        <w:t>2010</w:t>
      </w:r>
      <w:r w:rsidR="00B75826">
        <w:t>:</w:t>
      </w:r>
      <w:r w:rsidR="00C72D66" w:rsidRPr="0029403D">
        <w:t xml:space="preserve"> </w:t>
      </w:r>
    </w:p>
    <w:p w:rsidR="00B75826" w:rsidRDefault="00B75826" w:rsidP="00AD6932">
      <w:pPr>
        <w:autoSpaceDE w:val="0"/>
        <w:autoSpaceDN w:val="0"/>
        <w:adjustRightInd w:val="0"/>
        <w:spacing w:before="40"/>
        <w:ind w:firstLine="567"/>
        <w:jc w:val="both"/>
      </w:pPr>
      <w:r w:rsidRPr="00B75826">
        <w:t>- в таблице 7 «</w:t>
      </w:r>
      <w:r w:rsidR="00302C4B" w:rsidRPr="005F5E0E">
        <w:t>Сведения о результатах внешнего государственного (муниципального) финансового контроля</w:t>
      </w:r>
      <w:r w:rsidRPr="00B75826">
        <w:rPr>
          <w:bCs/>
        </w:rPr>
        <w:t>»</w:t>
      </w:r>
      <w:r w:rsidR="00302C4B">
        <w:rPr>
          <w:bCs/>
        </w:rPr>
        <w:t xml:space="preserve"> </w:t>
      </w:r>
      <w:r w:rsidRPr="00B75826">
        <w:t>к пояснительной записке (ф. 0503160)</w:t>
      </w:r>
      <w:r>
        <w:t xml:space="preserve"> </w:t>
      </w:r>
      <w:r w:rsidR="00302C4B">
        <w:rPr>
          <w:bCs/>
        </w:rPr>
        <w:t>отсутствует наименование таблицы, а также,</w:t>
      </w:r>
      <w:r w:rsidR="00302C4B">
        <w:t xml:space="preserve"> </w:t>
      </w:r>
      <w:r w:rsidR="00137D38">
        <w:t>отсутствует информация о мерах по результатам проверок</w:t>
      </w:r>
      <w:r w:rsidR="00302C4B">
        <w:t xml:space="preserve"> </w:t>
      </w:r>
      <w:r w:rsidR="00302C4B" w:rsidRPr="00213CAB">
        <w:rPr>
          <w:spacing w:val="-2"/>
        </w:rPr>
        <w:t>(</w:t>
      </w:r>
      <w:r w:rsidR="00302C4B" w:rsidRPr="00213CAB">
        <w:rPr>
          <w:b/>
          <w:i/>
          <w:spacing w:val="-2"/>
        </w:rPr>
        <w:t xml:space="preserve">на данное </w:t>
      </w:r>
      <w:r w:rsidR="00302C4B">
        <w:rPr>
          <w:b/>
          <w:i/>
          <w:spacing w:val="-2"/>
        </w:rPr>
        <w:t>з</w:t>
      </w:r>
      <w:r w:rsidR="00302C4B">
        <w:rPr>
          <w:b/>
          <w:i/>
          <w:spacing w:val="-2"/>
        </w:rPr>
        <w:t>а</w:t>
      </w:r>
      <w:r w:rsidR="00302C4B">
        <w:rPr>
          <w:b/>
          <w:i/>
          <w:spacing w:val="-2"/>
        </w:rPr>
        <w:t>мечание</w:t>
      </w:r>
      <w:r w:rsidR="00302C4B" w:rsidRPr="00213CAB">
        <w:rPr>
          <w:b/>
          <w:i/>
          <w:spacing w:val="-2"/>
        </w:rPr>
        <w:t xml:space="preserve"> было указано в экспертном заключении по результатам внешней проверки год</w:t>
      </w:r>
      <w:r w:rsidR="00302C4B" w:rsidRPr="00213CAB">
        <w:rPr>
          <w:b/>
          <w:i/>
          <w:spacing w:val="-2"/>
        </w:rPr>
        <w:t>о</w:t>
      </w:r>
      <w:r w:rsidR="00302C4B" w:rsidRPr="00213CAB">
        <w:rPr>
          <w:b/>
          <w:i/>
          <w:spacing w:val="-2"/>
        </w:rPr>
        <w:t>вого отчёта об исполнении бюджета за 2014 год</w:t>
      </w:r>
      <w:r w:rsidR="00302C4B" w:rsidRPr="00213CAB">
        <w:rPr>
          <w:spacing w:val="-2"/>
        </w:rPr>
        <w:t>)</w:t>
      </w:r>
      <w:r>
        <w:rPr>
          <w:bCs/>
        </w:rPr>
        <w:t>;</w:t>
      </w:r>
    </w:p>
    <w:p w:rsidR="00E5742F" w:rsidRPr="00715C1E" w:rsidRDefault="00E5742F" w:rsidP="00E5742F">
      <w:pPr>
        <w:spacing w:before="40"/>
        <w:ind w:firstLine="567"/>
        <w:jc w:val="both"/>
      </w:pPr>
      <w:r w:rsidRPr="00715C1E">
        <w:t>- в форме 0503177 «Сведения об использовании информационно-коммуникационных технологий» не указаны</w:t>
      </w:r>
      <w:r>
        <w:t xml:space="preserve"> о</w:t>
      </w:r>
      <w:r w:rsidRPr="00715C1E">
        <w:t>сновные цели произведенных расходов</w:t>
      </w:r>
      <w:r>
        <w:t>.</w:t>
      </w:r>
    </w:p>
    <w:p w:rsidR="00676100" w:rsidRPr="00676100" w:rsidRDefault="009465AA" w:rsidP="00676100">
      <w:pPr>
        <w:pStyle w:val="a4"/>
        <w:spacing w:before="40" w:after="0"/>
        <w:ind w:firstLine="567"/>
        <w:jc w:val="both"/>
        <w:rPr>
          <w:color w:val="000000"/>
          <w:spacing w:val="-2"/>
        </w:rPr>
      </w:pPr>
      <w:r w:rsidRPr="00676100">
        <w:rPr>
          <w:spacing w:val="-2"/>
        </w:rPr>
        <w:t>2.</w:t>
      </w:r>
      <w:r w:rsidR="00936AF6" w:rsidRPr="00676100">
        <w:rPr>
          <w:spacing w:val="-2"/>
        </w:rPr>
        <w:t>5</w:t>
      </w:r>
      <w:r w:rsidRPr="00676100">
        <w:rPr>
          <w:spacing w:val="-2"/>
        </w:rPr>
        <w:t xml:space="preserve">. </w:t>
      </w:r>
      <w:r w:rsidR="00A64FA4" w:rsidRPr="00676100">
        <w:rPr>
          <w:spacing w:val="-2"/>
        </w:rPr>
        <w:t>Из формы 0503169 «Сведения о дебиторской и кредиторской задолженности» след</w:t>
      </w:r>
      <w:r w:rsidR="00A64FA4" w:rsidRPr="00676100">
        <w:rPr>
          <w:spacing w:val="-2"/>
        </w:rPr>
        <w:t>у</w:t>
      </w:r>
      <w:r w:rsidR="00A64FA4" w:rsidRPr="00676100">
        <w:rPr>
          <w:spacing w:val="-2"/>
        </w:rPr>
        <w:t>ет, что дебиторская задолженность на 01.01.</w:t>
      </w:r>
      <w:r w:rsidR="00E5742F">
        <w:rPr>
          <w:spacing w:val="-2"/>
        </w:rPr>
        <w:t>2016</w:t>
      </w:r>
      <w:r w:rsidR="00A64FA4" w:rsidRPr="00676100">
        <w:rPr>
          <w:spacing w:val="-2"/>
        </w:rPr>
        <w:t xml:space="preserve"> составляет </w:t>
      </w:r>
      <w:r w:rsidR="00302C4B">
        <w:rPr>
          <w:spacing w:val="-2"/>
        </w:rPr>
        <w:t>59355,11</w:t>
      </w:r>
      <w:r w:rsidR="00A64FA4" w:rsidRPr="00676100">
        <w:rPr>
          <w:spacing w:val="-2"/>
        </w:rPr>
        <w:t xml:space="preserve"> руб. Данные  формы 0503169 соответствуют данным формы 0503120 «Баланс исполнения бюджета» –</w:t>
      </w:r>
      <w:r w:rsidR="00936AF6" w:rsidRPr="00676100">
        <w:rPr>
          <w:spacing w:val="-2"/>
        </w:rPr>
        <w:t xml:space="preserve"> </w:t>
      </w:r>
      <w:r w:rsidR="00302C4B">
        <w:rPr>
          <w:spacing w:val="-2"/>
        </w:rPr>
        <w:t>59355,11</w:t>
      </w:r>
      <w:r w:rsidR="00302C4B" w:rsidRPr="00676100">
        <w:rPr>
          <w:spacing w:val="-2"/>
        </w:rPr>
        <w:t xml:space="preserve"> </w:t>
      </w:r>
      <w:r w:rsidR="00A64FA4" w:rsidRPr="00676100">
        <w:rPr>
          <w:spacing w:val="-2"/>
        </w:rPr>
        <w:t xml:space="preserve">руб. </w:t>
      </w:r>
      <w:r w:rsidR="00302C4B">
        <w:rPr>
          <w:spacing w:val="-2"/>
        </w:rPr>
        <w:t>По сравнению с 2014 годом объём дебиторской задолженности увеличился на 48066,87 руб. или в 5,3 раза. Основная составляющая дебиторской задолженности авансовые платежи.</w:t>
      </w:r>
    </w:p>
    <w:p w:rsidR="00E4577A" w:rsidRDefault="00A64FA4" w:rsidP="00936AF6">
      <w:pPr>
        <w:pStyle w:val="ConsPlusNormal"/>
        <w:spacing w:before="40"/>
        <w:ind w:firstLine="539"/>
        <w:jc w:val="both"/>
        <w:rPr>
          <w:rFonts w:ascii="Times New Roman" w:hAnsi="Times New Roman" w:cs="Times New Roman"/>
          <w:sz w:val="24"/>
          <w:szCs w:val="24"/>
        </w:rPr>
      </w:pPr>
      <w:proofErr w:type="gramStart"/>
      <w:r w:rsidRPr="00936AF6">
        <w:rPr>
          <w:rFonts w:ascii="Times New Roman" w:hAnsi="Times New Roman" w:cs="Times New Roman"/>
          <w:sz w:val="24"/>
          <w:szCs w:val="24"/>
        </w:rPr>
        <w:t xml:space="preserve">Из формы 0503169 «Сведения о дебиторской и кредиторской задолженности» следует, что кредиторская задолженность – </w:t>
      </w:r>
      <w:r w:rsidR="00302C4B">
        <w:rPr>
          <w:rFonts w:ascii="Times New Roman" w:hAnsi="Times New Roman" w:cs="Times New Roman"/>
          <w:sz w:val="24"/>
          <w:szCs w:val="24"/>
        </w:rPr>
        <w:t>187478,12</w:t>
      </w:r>
      <w:r w:rsidRPr="00936AF6">
        <w:rPr>
          <w:rFonts w:ascii="Times New Roman" w:hAnsi="Times New Roman" w:cs="Times New Roman"/>
          <w:sz w:val="24"/>
          <w:szCs w:val="24"/>
        </w:rPr>
        <w:t xml:space="preserve"> руб. </w:t>
      </w:r>
      <w:r w:rsidR="00C04DCD" w:rsidRPr="00936AF6">
        <w:rPr>
          <w:rFonts w:ascii="Times New Roman" w:hAnsi="Times New Roman" w:cs="Times New Roman"/>
          <w:sz w:val="24"/>
          <w:szCs w:val="24"/>
        </w:rPr>
        <w:t xml:space="preserve">Данные  формы 0503169 соответствуют данным формы 0503120 «Баланс исполнения бюджета» – </w:t>
      </w:r>
      <w:r w:rsidR="00302C4B">
        <w:rPr>
          <w:rFonts w:ascii="Times New Roman" w:hAnsi="Times New Roman" w:cs="Times New Roman"/>
          <w:sz w:val="24"/>
          <w:szCs w:val="24"/>
        </w:rPr>
        <w:t>187478,12</w:t>
      </w:r>
      <w:r w:rsidR="00302C4B" w:rsidRPr="00936AF6">
        <w:rPr>
          <w:rFonts w:ascii="Times New Roman" w:hAnsi="Times New Roman" w:cs="Times New Roman"/>
          <w:sz w:val="24"/>
          <w:szCs w:val="24"/>
        </w:rPr>
        <w:t xml:space="preserve"> </w:t>
      </w:r>
      <w:r w:rsidR="00C04DCD" w:rsidRPr="00936AF6">
        <w:rPr>
          <w:rFonts w:ascii="Times New Roman" w:hAnsi="Times New Roman" w:cs="Times New Roman"/>
          <w:sz w:val="24"/>
          <w:szCs w:val="24"/>
        </w:rPr>
        <w:t xml:space="preserve">руб. </w:t>
      </w:r>
      <w:r w:rsidRPr="00936AF6">
        <w:rPr>
          <w:rFonts w:ascii="Times New Roman" w:hAnsi="Times New Roman" w:cs="Times New Roman"/>
          <w:sz w:val="24"/>
          <w:szCs w:val="24"/>
        </w:rPr>
        <w:t>Объём кредито</w:t>
      </w:r>
      <w:r w:rsidRPr="00936AF6">
        <w:rPr>
          <w:rFonts w:ascii="Times New Roman" w:hAnsi="Times New Roman" w:cs="Times New Roman"/>
          <w:sz w:val="24"/>
          <w:szCs w:val="24"/>
        </w:rPr>
        <w:t>р</w:t>
      </w:r>
      <w:r w:rsidRPr="00936AF6">
        <w:rPr>
          <w:rFonts w:ascii="Times New Roman" w:hAnsi="Times New Roman" w:cs="Times New Roman"/>
          <w:sz w:val="24"/>
          <w:szCs w:val="24"/>
        </w:rPr>
        <w:t xml:space="preserve">ской задолженности по сравнению с </w:t>
      </w:r>
      <w:r w:rsidR="00E5742F">
        <w:rPr>
          <w:rFonts w:ascii="Times New Roman" w:hAnsi="Times New Roman" w:cs="Times New Roman"/>
          <w:sz w:val="24"/>
          <w:szCs w:val="24"/>
        </w:rPr>
        <w:t>2014</w:t>
      </w:r>
      <w:r w:rsidRPr="00936AF6">
        <w:rPr>
          <w:rFonts w:ascii="Times New Roman" w:hAnsi="Times New Roman" w:cs="Times New Roman"/>
          <w:sz w:val="24"/>
          <w:szCs w:val="24"/>
        </w:rPr>
        <w:t xml:space="preserve"> годом </w:t>
      </w:r>
      <w:r w:rsidR="00E4577A">
        <w:rPr>
          <w:rFonts w:ascii="Times New Roman" w:hAnsi="Times New Roman" w:cs="Times New Roman"/>
          <w:sz w:val="24"/>
          <w:szCs w:val="24"/>
        </w:rPr>
        <w:t>снизился</w:t>
      </w:r>
      <w:r w:rsidRPr="00936AF6">
        <w:rPr>
          <w:rFonts w:ascii="Times New Roman" w:hAnsi="Times New Roman" w:cs="Times New Roman"/>
          <w:sz w:val="24"/>
          <w:szCs w:val="24"/>
        </w:rPr>
        <w:t xml:space="preserve"> на </w:t>
      </w:r>
      <w:r w:rsidR="00E4577A" w:rsidRPr="00E4577A">
        <w:rPr>
          <w:rFonts w:ascii="Times New Roman" w:hAnsi="Times New Roman" w:cs="Times New Roman"/>
          <w:sz w:val="24"/>
          <w:szCs w:val="24"/>
        </w:rPr>
        <w:t>453148,61</w:t>
      </w:r>
      <w:r w:rsidR="00E4577A">
        <w:rPr>
          <w:rFonts w:ascii="Times New Roman" w:hAnsi="Times New Roman" w:cs="Times New Roman"/>
          <w:sz w:val="24"/>
          <w:szCs w:val="24"/>
        </w:rPr>
        <w:t xml:space="preserve"> </w:t>
      </w:r>
      <w:r w:rsidRPr="00936AF6">
        <w:rPr>
          <w:rFonts w:ascii="Times New Roman" w:hAnsi="Times New Roman" w:cs="Times New Roman"/>
          <w:sz w:val="24"/>
          <w:szCs w:val="24"/>
        </w:rPr>
        <w:t xml:space="preserve">руб. или на </w:t>
      </w:r>
      <w:r w:rsidR="00E4577A">
        <w:rPr>
          <w:rFonts w:ascii="Times New Roman" w:hAnsi="Times New Roman" w:cs="Times New Roman"/>
          <w:sz w:val="24"/>
          <w:szCs w:val="24"/>
        </w:rPr>
        <w:t>70,7</w:t>
      </w:r>
      <w:r w:rsidRPr="00936AF6">
        <w:rPr>
          <w:rFonts w:ascii="Times New Roman" w:hAnsi="Times New Roman" w:cs="Times New Roman"/>
          <w:sz w:val="24"/>
          <w:szCs w:val="24"/>
        </w:rPr>
        <w:t xml:space="preserve">%. </w:t>
      </w:r>
      <w:r w:rsidR="00936AF6" w:rsidRPr="00936AF6">
        <w:rPr>
          <w:rFonts w:ascii="Times New Roman" w:hAnsi="Times New Roman" w:cs="Times New Roman"/>
          <w:sz w:val="24"/>
          <w:szCs w:val="24"/>
        </w:rPr>
        <w:t>Согласно пояснительной записке кредиторская задолженность образовалась по причине н</w:t>
      </w:r>
      <w:r w:rsidR="00936AF6" w:rsidRPr="00936AF6">
        <w:rPr>
          <w:rFonts w:ascii="Times New Roman" w:hAnsi="Times New Roman" w:cs="Times New Roman"/>
          <w:sz w:val="24"/>
          <w:szCs w:val="24"/>
        </w:rPr>
        <w:t>е</w:t>
      </w:r>
      <w:r w:rsidR="00936AF6" w:rsidRPr="00936AF6">
        <w:rPr>
          <w:rFonts w:ascii="Times New Roman" w:hAnsi="Times New Roman" w:cs="Times New Roman"/>
          <w:sz w:val="24"/>
          <w:szCs w:val="24"/>
        </w:rPr>
        <w:t xml:space="preserve">хватки средств для оплаты бюджетных обязательств. </w:t>
      </w:r>
      <w:proofErr w:type="gramEnd"/>
    </w:p>
    <w:p w:rsidR="00E4577A" w:rsidRPr="00C26C73" w:rsidRDefault="00E4577A" w:rsidP="00E4577A">
      <w:pPr>
        <w:spacing w:before="40"/>
        <w:ind w:firstLine="567"/>
        <w:jc w:val="both"/>
        <w:rPr>
          <w:spacing w:val="-2"/>
        </w:rPr>
      </w:pPr>
      <w:r w:rsidRPr="008571E3">
        <w:rPr>
          <w:i/>
          <w:color w:val="000000"/>
        </w:rPr>
        <w:t>Ревизионная комиссия отмечает</w:t>
      </w:r>
      <w:r>
        <w:rPr>
          <w:color w:val="000000"/>
        </w:rPr>
        <w:t xml:space="preserve">, что на начало и конец 2015 года имеется </w:t>
      </w:r>
      <w:r w:rsidRPr="00936AF6">
        <w:t>кредито</w:t>
      </w:r>
      <w:r w:rsidRPr="00936AF6">
        <w:t>р</w:t>
      </w:r>
      <w:r w:rsidRPr="00936AF6">
        <w:t xml:space="preserve">ская </w:t>
      </w:r>
      <w:r w:rsidRPr="00E424C2">
        <w:rPr>
          <w:color w:val="000000"/>
        </w:rPr>
        <w:t>задолженност</w:t>
      </w:r>
      <w:r>
        <w:rPr>
          <w:color w:val="000000"/>
        </w:rPr>
        <w:t xml:space="preserve">ь по счёту </w:t>
      </w:r>
      <w:r w:rsidRPr="00E4577A">
        <w:rPr>
          <w:color w:val="000000"/>
        </w:rPr>
        <w:t>30103098800309244</w:t>
      </w:r>
      <w:r>
        <w:rPr>
          <w:color w:val="000000"/>
        </w:rPr>
        <w:t xml:space="preserve"> </w:t>
      </w:r>
      <w:r w:rsidRPr="00E4577A">
        <w:rPr>
          <w:color w:val="000000"/>
        </w:rPr>
        <w:t>030301000</w:t>
      </w:r>
      <w:r w:rsidRPr="008571E3">
        <w:rPr>
          <w:color w:val="000000"/>
        </w:rPr>
        <w:t xml:space="preserve"> </w:t>
      </w:r>
      <w:r>
        <w:rPr>
          <w:color w:val="000000"/>
        </w:rPr>
        <w:t xml:space="preserve">в сумме 1377,00 руб. </w:t>
      </w:r>
      <w:r w:rsidRPr="00E4577A">
        <w:rPr>
          <w:i/>
          <w:color w:val="000000"/>
        </w:rPr>
        <w:t xml:space="preserve">Данный факт свидетельствует о недостаточном контроле администрации </w:t>
      </w:r>
      <w:r>
        <w:rPr>
          <w:i/>
          <w:color w:val="000000"/>
        </w:rPr>
        <w:t>при принятии и испо</w:t>
      </w:r>
      <w:r>
        <w:rPr>
          <w:i/>
          <w:color w:val="000000"/>
        </w:rPr>
        <w:t>л</w:t>
      </w:r>
      <w:r>
        <w:rPr>
          <w:i/>
          <w:color w:val="000000"/>
        </w:rPr>
        <w:t>нении расходных обязательств</w:t>
      </w:r>
      <w:r w:rsidRPr="00E4577A">
        <w:rPr>
          <w:i/>
          <w:color w:val="000000"/>
        </w:rPr>
        <w:t>.</w:t>
      </w:r>
    </w:p>
    <w:p w:rsidR="009E2890" w:rsidRPr="0029403D" w:rsidRDefault="007420F7" w:rsidP="00676100">
      <w:pPr>
        <w:pStyle w:val="1"/>
      </w:pPr>
      <w:r w:rsidRPr="0029403D">
        <w:lastRenderedPageBreak/>
        <w:t>3</w:t>
      </w:r>
      <w:r w:rsidR="009E2890" w:rsidRPr="0029403D">
        <w:t xml:space="preserve">. Анализ долговой политики </w:t>
      </w:r>
      <w:r w:rsidR="00E167F6">
        <w:t>Форпост-Каргат</w:t>
      </w:r>
      <w:r w:rsidR="003D3C03" w:rsidRPr="0029403D">
        <w:t>ского сельсовета</w:t>
      </w:r>
    </w:p>
    <w:p w:rsidR="007420F7" w:rsidRDefault="007420F7" w:rsidP="00A41AB9">
      <w:pPr>
        <w:spacing w:before="60"/>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E5742F">
        <w:t>2015</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E5742F">
        <w:t>2015</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995074">
        <w:t>7985,5</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130207">
        <w:t>78</w:t>
      </w:r>
      <w:r w:rsidR="00995074">
        <w:t>4</w:t>
      </w:r>
      <w:r w:rsidR="00130207">
        <w:t>2,5</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4644D5">
        <w:t>про</w:t>
      </w:r>
      <w:r w:rsidR="00976773" w:rsidRPr="0029403D">
        <w:t>фицит</w:t>
      </w:r>
      <w:r w:rsidR="00976773">
        <w:t xml:space="preserve"> </w:t>
      </w:r>
      <w:r w:rsidR="00C218BA" w:rsidRPr="0029403D">
        <w:t xml:space="preserve">местного </w:t>
      </w:r>
      <w:r w:rsidRPr="0029403D">
        <w:t xml:space="preserve">бюджета составил </w:t>
      </w:r>
      <w:r w:rsidR="00995074">
        <w:t>143,0</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E5742F">
        <w:t>2014</w:t>
      </w:r>
      <w:r w:rsidR="002C488D" w:rsidRPr="0029403D">
        <w:t xml:space="preserve"> году местный бюджет был исполнен с </w:t>
      </w:r>
      <w:r w:rsidR="00130207">
        <w:t>про</w:t>
      </w:r>
      <w:r w:rsidR="002C488D" w:rsidRPr="0029403D">
        <w:t xml:space="preserve">фицитом </w:t>
      </w:r>
      <w:r w:rsidR="00995074">
        <w:t>16,9</w:t>
      </w:r>
      <w:r w:rsidR="00995074" w:rsidRPr="0029403D">
        <w:t xml:space="preserve"> </w:t>
      </w:r>
      <w:r w:rsidRPr="0029403D">
        <w:t>тыс.</w:t>
      </w:r>
      <w:r w:rsidR="002C488D" w:rsidRPr="0029403D">
        <w:t xml:space="preserve"> </w:t>
      </w:r>
      <w:r w:rsidR="00CA485C" w:rsidRPr="0029403D">
        <w:t>руб.</w:t>
      </w:r>
    </w:p>
    <w:p w:rsidR="00696525" w:rsidRDefault="00696525" w:rsidP="00AD6932">
      <w:pPr>
        <w:spacing w:before="60"/>
        <w:ind w:firstLine="567"/>
        <w:jc w:val="both"/>
      </w:pPr>
      <w:r w:rsidRPr="0029403D">
        <w:t xml:space="preserve">Следует отметить, что при планировании местного бюджета на </w:t>
      </w:r>
      <w:r w:rsidR="00E5742F">
        <w:t>2015</w:t>
      </w:r>
      <w:r w:rsidRPr="0029403D">
        <w:t xml:space="preserve"> год</w:t>
      </w:r>
      <w:r w:rsidR="00F01C8A" w:rsidRPr="0029403D">
        <w:t xml:space="preserve"> правильно учтены остатки средств на счетах в органе казначейства, а именно, согласно</w:t>
      </w:r>
      <w:r w:rsidR="00FC5CD7" w:rsidRPr="0029403D">
        <w:t xml:space="preserve"> отчёту формы 05031</w:t>
      </w:r>
      <w:r w:rsidR="00995074">
        <w:t>2</w:t>
      </w:r>
      <w:r w:rsidR="00FC5CD7" w:rsidRPr="0029403D">
        <w:t xml:space="preserve">0 «Баланс </w:t>
      </w:r>
      <w:r w:rsidR="00995074">
        <w:t>исполнения</w:t>
      </w:r>
      <w:r w:rsidR="00130207">
        <w:t xml:space="preserve"> </w:t>
      </w:r>
      <w:r w:rsidR="004644D5">
        <w:t>бюджет</w:t>
      </w:r>
      <w:r w:rsidR="00995074">
        <w:t>а</w:t>
      </w:r>
      <w:r w:rsidR="00FC5CD7" w:rsidRPr="0029403D">
        <w:t>» остаток средств на 01.01.</w:t>
      </w:r>
      <w:r w:rsidR="00E5742F">
        <w:t>2015</w:t>
      </w:r>
      <w:r w:rsidR="00FC5CD7" w:rsidRPr="0029403D">
        <w:t xml:space="preserve"> </w:t>
      </w:r>
      <w:r w:rsidR="000A6332" w:rsidRPr="0029403D">
        <w:t>–</w:t>
      </w:r>
      <w:r w:rsidR="00FC5CD7" w:rsidRPr="0029403D">
        <w:t xml:space="preserve"> </w:t>
      </w:r>
      <w:r w:rsidR="00995074">
        <w:t>31</w:t>
      </w:r>
      <w:r w:rsidR="007C20CD">
        <w:t xml:space="preserve"> </w:t>
      </w:r>
      <w:r w:rsidR="00995074">
        <w:t>993,11</w:t>
      </w:r>
      <w:r w:rsidR="000A6332" w:rsidRPr="0029403D">
        <w:t xml:space="preserve"> </w:t>
      </w:r>
      <w:r w:rsidR="00CA485C" w:rsidRPr="0029403D">
        <w:t>руб.</w:t>
      </w:r>
      <w:r w:rsidR="000A6332" w:rsidRPr="0029403D">
        <w:t>, фа</w:t>
      </w:r>
      <w:r w:rsidR="000A6332" w:rsidRPr="0029403D">
        <w:t>к</w:t>
      </w:r>
      <w:r w:rsidR="000A6332" w:rsidRPr="0029403D">
        <w:t xml:space="preserve">тически в источниках финансирования дефицита бюджета запланировано </w:t>
      </w:r>
      <w:r w:rsidR="00995074">
        <w:t>31</w:t>
      </w:r>
      <w:r w:rsidR="007C20CD">
        <w:t xml:space="preserve"> </w:t>
      </w:r>
      <w:r w:rsidR="00995074">
        <w:t>993,11</w:t>
      </w:r>
      <w:r w:rsidR="00995074" w:rsidRPr="0029403D">
        <w:t xml:space="preserve"> </w:t>
      </w:r>
      <w:r w:rsidR="00CA485C" w:rsidRPr="0029403D">
        <w:t>руб.</w:t>
      </w:r>
      <w:r w:rsidR="000A6332" w:rsidRPr="0029403D">
        <w:t xml:space="preserve"> </w:t>
      </w:r>
      <w:r w:rsidR="00CB0EA0" w:rsidRPr="0029403D">
        <w:t>Несоответстви</w:t>
      </w:r>
      <w:r w:rsidR="00130207">
        <w:t>я нет.</w:t>
      </w:r>
    </w:p>
    <w:p w:rsidR="00F17157" w:rsidRPr="0029403D" w:rsidRDefault="00665379" w:rsidP="00676100">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4E3D46">
      <w:pPr>
        <w:spacing w:before="60"/>
        <w:ind w:firstLine="567"/>
        <w:jc w:val="both"/>
      </w:pPr>
      <w:r w:rsidRPr="004E49FA">
        <w:t xml:space="preserve">Местный бюджет на </w:t>
      </w:r>
      <w:r w:rsidR="00E5742F">
        <w:t>2015</w:t>
      </w:r>
      <w:r w:rsidRPr="004E49FA">
        <w:t xml:space="preserve"> год по доходам в </w:t>
      </w:r>
      <w:r w:rsidR="00200EDB" w:rsidRPr="004E49FA">
        <w:t>объёме</w:t>
      </w:r>
      <w:r w:rsidRPr="004E49FA">
        <w:t xml:space="preserve"> </w:t>
      </w:r>
      <w:r w:rsidR="00995074">
        <w:t>5207,5</w:t>
      </w:r>
      <w:r w:rsidR="00200EDB" w:rsidRPr="004E49FA">
        <w:t xml:space="preserve"> тыс. </w:t>
      </w:r>
      <w:r w:rsidR="00CA485C" w:rsidRPr="004E49FA">
        <w:t>руб.</w:t>
      </w:r>
      <w:r w:rsidRPr="004E49FA">
        <w:t xml:space="preserve"> утверждён</w:t>
      </w:r>
      <w:r w:rsidR="00200EDB" w:rsidRPr="004E49FA">
        <w:t xml:space="preserve"> решен</w:t>
      </w:r>
      <w:r w:rsidR="00200EDB" w:rsidRPr="004E49FA">
        <w:t>и</w:t>
      </w:r>
      <w:r w:rsidR="00C416C8">
        <w:t xml:space="preserve">ем </w:t>
      </w:r>
      <w:r w:rsidR="00995074">
        <w:t>40</w:t>
      </w:r>
      <w:r w:rsidR="00200EDB" w:rsidRPr="004E49FA">
        <w:t xml:space="preserve"> сессии 4 созыва Совета депутатов </w:t>
      </w:r>
      <w:r w:rsidR="00E167F6" w:rsidRPr="004E49FA">
        <w:t>Форпост-Каргат</w:t>
      </w:r>
      <w:r w:rsidR="00200EDB" w:rsidRPr="004E49FA">
        <w:t>ского сельсовета Каргатского рай</w:t>
      </w:r>
      <w:r w:rsidR="00200EDB" w:rsidRPr="004E49FA">
        <w:t>о</w:t>
      </w:r>
      <w:r w:rsidR="00200EDB" w:rsidRPr="004E49FA">
        <w:t>на Новосибирской области</w:t>
      </w:r>
      <w:r w:rsidR="00E676E9" w:rsidRPr="004E49FA">
        <w:t xml:space="preserve"> от </w:t>
      </w:r>
      <w:r w:rsidR="00995074">
        <w:t>17</w:t>
      </w:r>
      <w:r w:rsidR="00E676E9" w:rsidRPr="004E49FA">
        <w:t>.1</w:t>
      </w:r>
      <w:r w:rsidR="0002466F" w:rsidRPr="004E49FA">
        <w:t>2</w:t>
      </w:r>
      <w:r w:rsidR="00E676E9" w:rsidRPr="004E49FA">
        <w:t>.</w:t>
      </w:r>
      <w:r w:rsidR="00E5742F">
        <w:t>2014</w:t>
      </w:r>
      <w:r w:rsidR="00E676E9" w:rsidRPr="004E49FA">
        <w:t xml:space="preserve"> № </w:t>
      </w:r>
      <w:r w:rsidR="00995074">
        <w:t>155</w:t>
      </w:r>
      <w:r w:rsidR="00E676E9" w:rsidRPr="00816F79">
        <w:t>.</w:t>
      </w:r>
      <w:r w:rsidR="003D4373" w:rsidRPr="00816F79">
        <w:t xml:space="preserve"> </w:t>
      </w:r>
    </w:p>
    <w:p w:rsidR="00826335" w:rsidRPr="001B728A" w:rsidRDefault="001A2085" w:rsidP="00AD6932">
      <w:pPr>
        <w:autoSpaceDE w:val="0"/>
        <w:autoSpaceDN w:val="0"/>
        <w:adjustRightInd w:val="0"/>
        <w:spacing w:before="60"/>
        <w:ind w:firstLine="540"/>
        <w:jc w:val="both"/>
        <w:outlineLvl w:val="0"/>
        <w:rPr>
          <w:i/>
          <w:sz w:val="20"/>
          <w:szCs w:val="20"/>
        </w:rPr>
      </w:pPr>
      <w:r w:rsidRPr="00816F79">
        <w:t>Решени</w:t>
      </w:r>
      <w:r w:rsidR="00816F79">
        <w:t xml:space="preserve">ями </w:t>
      </w:r>
      <w:r w:rsidR="00826335" w:rsidRPr="00816F79">
        <w:t xml:space="preserve">от </w:t>
      </w:r>
      <w:r w:rsidR="00995074">
        <w:t>25</w:t>
      </w:r>
      <w:r w:rsidR="00826335">
        <w:t>.03</w:t>
      </w:r>
      <w:r w:rsidR="00826335" w:rsidRPr="00816F79">
        <w:t>.</w:t>
      </w:r>
      <w:r w:rsidR="00E5742F">
        <w:t>2015</w:t>
      </w:r>
      <w:r w:rsidR="00826335" w:rsidRPr="00816F79">
        <w:t xml:space="preserve"> № </w:t>
      </w:r>
      <w:r w:rsidR="00995074">
        <w:t>163</w:t>
      </w:r>
      <w:r w:rsidR="00826335">
        <w:t xml:space="preserve">, </w:t>
      </w:r>
      <w:r w:rsidRPr="00816F79">
        <w:t xml:space="preserve">от </w:t>
      </w:r>
      <w:r w:rsidR="00995074">
        <w:t>17</w:t>
      </w:r>
      <w:r w:rsidR="00816F79">
        <w:t>.0</w:t>
      </w:r>
      <w:r w:rsidR="00995074">
        <w:t>6</w:t>
      </w:r>
      <w:r w:rsidRPr="00816F79">
        <w:t>.</w:t>
      </w:r>
      <w:r w:rsidR="00E5742F">
        <w:t>2015</w:t>
      </w:r>
      <w:r w:rsidRPr="00816F79">
        <w:t xml:space="preserve"> № </w:t>
      </w:r>
      <w:r w:rsidR="00995074">
        <w:t>176</w:t>
      </w:r>
      <w:r w:rsidR="00816F79">
        <w:t xml:space="preserve">, от </w:t>
      </w:r>
      <w:r w:rsidR="00995074">
        <w:t>17</w:t>
      </w:r>
      <w:r w:rsidR="00816F79">
        <w:t>.0</w:t>
      </w:r>
      <w:r w:rsidR="00826335">
        <w:t>9</w:t>
      </w:r>
      <w:r w:rsidR="00816F79">
        <w:t>.</w:t>
      </w:r>
      <w:r w:rsidR="00E5742F">
        <w:t>2015</w:t>
      </w:r>
      <w:r w:rsidR="00816F79">
        <w:t xml:space="preserve"> № </w:t>
      </w:r>
      <w:r w:rsidR="00995074">
        <w:t>182</w:t>
      </w:r>
      <w:r w:rsidR="00816F79">
        <w:t xml:space="preserve">, от </w:t>
      </w:r>
      <w:r w:rsidR="00995074">
        <w:t>23</w:t>
      </w:r>
      <w:r w:rsidR="00816F79">
        <w:t>.</w:t>
      </w:r>
      <w:r w:rsidR="00995074">
        <w:t>11</w:t>
      </w:r>
      <w:r w:rsidR="00816F79">
        <w:t>.</w:t>
      </w:r>
      <w:r w:rsidR="00E5742F">
        <w:t>2015</w:t>
      </w:r>
      <w:r w:rsidR="00816F79">
        <w:t xml:space="preserve"> № </w:t>
      </w:r>
      <w:r w:rsidR="00995074">
        <w:t>12</w:t>
      </w:r>
      <w:r w:rsidR="00642BD9">
        <w:t xml:space="preserve">, от </w:t>
      </w:r>
      <w:r w:rsidR="00995074">
        <w:t>25</w:t>
      </w:r>
      <w:r w:rsidR="00642BD9">
        <w:t>.12.</w:t>
      </w:r>
      <w:r w:rsidR="00E5742F">
        <w:t>2015</w:t>
      </w:r>
      <w:r w:rsidR="00642BD9">
        <w:t xml:space="preserve"> № </w:t>
      </w:r>
      <w:r w:rsidR="00995074">
        <w:t>21</w:t>
      </w:r>
      <w:r w:rsidR="00552AD8">
        <w:t xml:space="preserve"> </w:t>
      </w:r>
      <w:r w:rsidRPr="00816F79">
        <w:t>были в</w:t>
      </w:r>
      <w:r w:rsidR="003D2EF7" w:rsidRPr="00816F79">
        <w:t>несен</w:t>
      </w:r>
      <w:r w:rsidRPr="00816F79">
        <w:t>ы</w:t>
      </w:r>
      <w:r w:rsidR="003D2EF7" w:rsidRPr="00816F79">
        <w:t xml:space="preserve"> изменени</w:t>
      </w:r>
      <w:r w:rsidRPr="00816F79">
        <w:t>я</w:t>
      </w:r>
      <w:r w:rsidR="003D2EF7" w:rsidRPr="00816F79">
        <w:t xml:space="preserve"> в п</w:t>
      </w:r>
      <w:r w:rsidR="003D4373" w:rsidRPr="00816F79">
        <w:t>лановые назначения по д</w:t>
      </w:r>
      <w:r w:rsidR="003D4373" w:rsidRPr="00816F79">
        <w:t>о</w:t>
      </w:r>
      <w:r w:rsidR="003D4373" w:rsidRPr="00816F79">
        <w:t>ходам</w:t>
      </w:r>
      <w:r w:rsidRPr="00816F79">
        <w:t xml:space="preserve">. </w:t>
      </w:r>
      <w:r w:rsidR="00826335" w:rsidRPr="00AF4B49">
        <w:t xml:space="preserve">По итогам </w:t>
      </w:r>
      <w:r w:rsidR="00826335">
        <w:t xml:space="preserve">всех </w:t>
      </w:r>
      <w:r w:rsidR="00826335" w:rsidRPr="00AF4B49">
        <w:t>внесённых изменений уточнённый объём доходов</w:t>
      </w:r>
      <w:r w:rsidR="00826335">
        <w:t xml:space="preserve"> составляет </w:t>
      </w:r>
      <w:r w:rsidR="00995074">
        <w:t>8031</w:t>
      </w:r>
      <w:r w:rsidR="00826335">
        <w:t>,</w:t>
      </w:r>
      <w:r w:rsidR="00995074">
        <w:t>7</w:t>
      </w:r>
      <w:r w:rsidR="00826335">
        <w:t xml:space="preserve"> тыс. руб. </w:t>
      </w:r>
      <w:r w:rsidR="00826335" w:rsidRPr="0029403D">
        <w:t xml:space="preserve">В отчёте об исполнении местного бюджета за </w:t>
      </w:r>
      <w:r w:rsidR="00E5742F">
        <w:t>2015</w:t>
      </w:r>
      <w:r w:rsidR="00826335" w:rsidRPr="0029403D">
        <w:t xml:space="preserve"> год плановый показатель по д</w:t>
      </w:r>
      <w:r w:rsidR="00826335" w:rsidRPr="0029403D">
        <w:t>о</w:t>
      </w:r>
      <w:r w:rsidR="00826335" w:rsidRPr="0029403D">
        <w:t xml:space="preserve">ходам составляет </w:t>
      </w:r>
      <w:r w:rsidR="00826335">
        <w:t xml:space="preserve">8077,3 </w:t>
      </w:r>
      <w:r w:rsidR="00826335" w:rsidRPr="0029403D">
        <w:t xml:space="preserve">тыс. руб. </w:t>
      </w:r>
      <w:r w:rsidR="00826335" w:rsidRPr="007C6063">
        <w:t>Тем самым</w:t>
      </w:r>
      <w:r w:rsidR="00826335">
        <w:t xml:space="preserve"> выполняется</w:t>
      </w:r>
      <w:r w:rsidR="00826335" w:rsidRPr="007C6063">
        <w:t xml:space="preserve"> статья 32 БК РФ</w:t>
      </w:r>
      <w:r w:rsidR="00826335">
        <w:t>.</w:t>
      </w:r>
    </w:p>
    <w:p w:rsidR="00B80AA4" w:rsidRPr="0029403D" w:rsidRDefault="00B80AA4" w:rsidP="00AD6932">
      <w:pPr>
        <w:spacing w:before="60"/>
        <w:ind w:firstLine="567"/>
        <w:jc w:val="both"/>
      </w:pPr>
      <w:r w:rsidRPr="0029403D">
        <w:t xml:space="preserve">Исполнение местного бюджета по доходам за </w:t>
      </w:r>
      <w:r w:rsidR="00E5742F">
        <w:t>2015</w:t>
      </w:r>
      <w:r w:rsidRPr="0029403D">
        <w:t xml:space="preserve"> год составило </w:t>
      </w:r>
      <w:r w:rsidR="006914F4">
        <w:t>7985,5</w:t>
      </w:r>
      <w:r w:rsidRPr="0029403D">
        <w:t xml:space="preserve"> тыс. </w:t>
      </w:r>
      <w:r w:rsidR="00CA485C" w:rsidRPr="0029403D">
        <w:t>руб.</w:t>
      </w:r>
      <w:r w:rsidRPr="0029403D">
        <w:t xml:space="preserve"> или </w:t>
      </w:r>
      <w:r w:rsidR="006914F4">
        <w:t>99,4</w:t>
      </w:r>
      <w:r w:rsidRPr="0029403D">
        <w:t>% к плану</w:t>
      </w:r>
      <w:r w:rsidR="00130207">
        <w:t xml:space="preserve"> (недоисполнение – </w:t>
      </w:r>
      <w:r w:rsidR="006914F4">
        <w:t>46,2</w:t>
      </w:r>
      <w:r w:rsidR="00130207">
        <w:t xml:space="preserve"> тыс. руб.)</w:t>
      </w:r>
      <w:r w:rsidR="00667AE3">
        <w:t>.</w:t>
      </w:r>
    </w:p>
    <w:p w:rsidR="00006951" w:rsidRPr="0029403D" w:rsidRDefault="00006951" w:rsidP="00AD6932">
      <w:pPr>
        <w:spacing w:before="60"/>
        <w:ind w:firstLine="567"/>
        <w:jc w:val="both"/>
      </w:pPr>
      <w:r w:rsidRPr="0029403D">
        <w:t xml:space="preserve">Из общей суммы доходов налоговые и неналоговые поступления составили </w:t>
      </w:r>
      <w:r w:rsidR="006914F4">
        <w:t>884,9</w:t>
      </w:r>
      <w:r w:rsidRPr="0029403D">
        <w:t xml:space="preserve"> тыс. </w:t>
      </w:r>
      <w:r w:rsidR="00CA485C" w:rsidRPr="0029403D">
        <w:t>руб.</w:t>
      </w:r>
      <w:r w:rsidRPr="0029403D">
        <w:t xml:space="preserve"> или </w:t>
      </w:r>
      <w:r w:rsidR="006914F4">
        <w:t>11,1</w:t>
      </w:r>
      <w:r w:rsidRPr="0029403D">
        <w:t xml:space="preserve">%, безвозмездные поступления – </w:t>
      </w:r>
      <w:r w:rsidR="006914F4">
        <w:t>7100,5</w:t>
      </w:r>
      <w:r w:rsidRPr="0029403D">
        <w:t> тыс.</w:t>
      </w:r>
      <w:r w:rsidR="00C1658D" w:rsidRPr="0029403D">
        <w:t xml:space="preserve"> </w:t>
      </w:r>
      <w:r w:rsidR="00CA485C" w:rsidRPr="0029403D">
        <w:t>руб.</w:t>
      </w:r>
      <w:r w:rsidRPr="0029403D">
        <w:t xml:space="preserve"> или </w:t>
      </w:r>
      <w:r w:rsidR="006914F4">
        <w:t>88,9</w:t>
      </w:r>
      <w:r w:rsidRPr="0029403D">
        <w:t>%.</w:t>
      </w:r>
    </w:p>
    <w:p w:rsidR="001328F1" w:rsidRPr="0029403D" w:rsidRDefault="001328F1" w:rsidP="00AD6932">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C41E4B">
        <w:t>увелич</w:t>
      </w:r>
      <w:r w:rsidR="00C41E4B">
        <w:t>и</w:t>
      </w:r>
      <w:r w:rsidR="00C41E4B">
        <w:t>лись</w:t>
      </w:r>
      <w:r w:rsidRPr="0029403D">
        <w:t xml:space="preserve"> на </w:t>
      </w:r>
      <w:r w:rsidR="006914F4">
        <w:t>96,1</w:t>
      </w:r>
      <w:r w:rsidR="004E64C9" w:rsidRPr="004E64C9">
        <w:t xml:space="preserve"> </w:t>
      </w:r>
      <w:r w:rsidRPr="0029403D">
        <w:t>тыс.</w:t>
      </w:r>
      <w:r w:rsidR="003D272D" w:rsidRPr="0029403D">
        <w:t xml:space="preserve"> </w:t>
      </w:r>
      <w:r w:rsidR="00CA485C" w:rsidRPr="0029403D">
        <w:t>руб.</w:t>
      </w:r>
      <w:r w:rsidRPr="0029403D">
        <w:t xml:space="preserve"> или </w:t>
      </w:r>
      <w:r w:rsidR="00C41E4B">
        <w:t xml:space="preserve">на </w:t>
      </w:r>
      <w:r w:rsidR="006914F4">
        <w:t>1</w:t>
      </w:r>
      <w:r w:rsidR="00130207">
        <w:t>,2</w:t>
      </w:r>
      <w:r w:rsidRPr="0029403D">
        <w:t xml:space="preserve">%, в том числе </w:t>
      </w:r>
      <w:r w:rsidR="001946F6" w:rsidRPr="0029403D">
        <w:t xml:space="preserve">налоговые и неналоговые поступления </w:t>
      </w:r>
      <w:r w:rsidR="006914F4">
        <w:t>ув</w:t>
      </w:r>
      <w:r w:rsidR="006914F4">
        <w:t>е</w:t>
      </w:r>
      <w:r w:rsidR="006914F4">
        <w:t>личились</w:t>
      </w:r>
      <w:r w:rsidR="006914F4" w:rsidRPr="0029403D">
        <w:t xml:space="preserve"> </w:t>
      </w:r>
      <w:r w:rsidR="002308B9" w:rsidRPr="0029403D">
        <w:t>на</w:t>
      </w:r>
      <w:r w:rsidR="00D912CC" w:rsidRPr="0029403D">
        <w:t xml:space="preserve"> </w:t>
      </w:r>
      <w:r w:rsidR="006914F4">
        <w:t>623,3</w:t>
      </w:r>
      <w:r w:rsidR="001946F6" w:rsidRPr="0029403D">
        <w:t xml:space="preserve"> тыс. </w:t>
      </w:r>
      <w:r w:rsidR="00CA485C" w:rsidRPr="0029403D">
        <w:t>руб.</w:t>
      </w:r>
      <w:r w:rsidR="001946F6" w:rsidRPr="0029403D">
        <w:t xml:space="preserve"> или </w:t>
      </w:r>
      <w:r w:rsidR="006914F4">
        <w:t>3,4 раза,</w:t>
      </w:r>
      <w:r w:rsidR="001946F6" w:rsidRPr="0029403D">
        <w:t xml:space="preserve"> безвозмездные</w:t>
      </w:r>
      <w:r w:rsidR="002308B9" w:rsidRPr="0029403D">
        <w:t xml:space="preserve"> поступления</w:t>
      </w:r>
      <w:r w:rsidR="001946F6" w:rsidRPr="0029403D">
        <w:t xml:space="preserve"> </w:t>
      </w:r>
      <w:r w:rsidR="006914F4">
        <w:t>снизились</w:t>
      </w:r>
      <w:r w:rsidR="006914F4" w:rsidRPr="0029403D">
        <w:t xml:space="preserve"> </w:t>
      </w:r>
      <w:r w:rsidR="002308B9" w:rsidRPr="0029403D">
        <w:t xml:space="preserve">на </w:t>
      </w:r>
      <w:r w:rsidR="006914F4">
        <w:t>527,3</w:t>
      </w:r>
      <w:r w:rsidR="002308B9" w:rsidRPr="0029403D">
        <w:t xml:space="preserve"> тыс. </w:t>
      </w:r>
      <w:r w:rsidR="00CA485C" w:rsidRPr="0029403D">
        <w:t>руб.</w:t>
      </w:r>
      <w:r w:rsidR="002308B9" w:rsidRPr="0029403D">
        <w:t xml:space="preserve"> или </w:t>
      </w:r>
      <w:r w:rsidR="00130207">
        <w:t xml:space="preserve">на </w:t>
      </w:r>
      <w:r w:rsidR="006914F4">
        <w:t>6,9</w:t>
      </w:r>
      <w:r w:rsidR="00130207">
        <w:t>%</w:t>
      </w:r>
      <w:r w:rsidRPr="0029403D">
        <w:t>.</w:t>
      </w:r>
      <w:r w:rsidR="003C2211">
        <w:t xml:space="preserve"> </w:t>
      </w:r>
    </w:p>
    <w:p w:rsidR="005E15EC" w:rsidRPr="0029403D" w:rsidRDefault="005E15EC" w:rsidP="005E15EC">
      <w:pPr>
        <w:spacing w:before="120"/>
        <w:ind w:firstLine="567"/>
        <w:jc w:val="both"/>
      </w:pPr>
      <w:r w:rsidRPr="00E56C9E">
        <w:rPr>
          <w:b/>
          <w:bCs/>
          <w:iCs/>
        </w:rPr>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E5742F">
        <w:rPr>
          <w:bCs/>
          <w:iCs/>
        </w:rPr>
        <w:t>2015</w:t>
      </w:r>
      <w:r w:rsidRPr="00E56C9E">
        <w:rPr>
          <w:bCs/>
          <w:iCs/>
        </w:rPr>
        <w:t xml:space="preserve"> год </w:t>
      </w:r>
      <w:r w:rsidR="008608CA" w:rsidRPr="00E56C9E">
        <w:rPr>
          <w:bCs/>
          <w:iCs/>
        </w:rPr>
        <w:t>исполнены</w:t>
      </w:r>
      <w:r w:rsidRPr="00E56C9E">
        <w:rPr>
          <w:bCs/>
          <w:iCs/>
        </w:rPr>
        <w:t xml:space="preserve"> в объеме </w:t>
      </w:r>
      <w:r w:rsidR="00696B24">
        <w:rPr>
          <w:bCs/>
          <w:iCs/>
        </w:rPr>
        <w:t>831,9</w:t>
      </w:r>
      <w:r w:rsidRPr="00E56C9E">
        <w:rPr>
          <w:bCs/>
          <w:iCs/>
        </w:rPr>
        <w:t xml:space="preserve"> тыс. руб. </w:t>
      </w:r>
      <w:r w:rsidR="00356683" w:rsidRPr="00E56C9E">
        <w:rPr>
          <w:bCs/>
          <w:iCs/>
        </w:rPr>
        <w:t xml:space="preserve">или </w:t>
      </w:r>
      <w:r w:rsidR="00696B24">
        <w:rPr>
          <w:bCs/>
          <w:iCs/>
        </w:rPr>
        <w:t>104,0</w:t>
      </w:r>
      <w:r w:rsidR="00CB7F16" w:rsidRPr="00E56C9E">
        <w:rPr>
          <w:bCs/>
          <w:iCs/>
        </w:rPr>
        <w:t>% от плановых назначений</w:t>
      </w:r>
      <w:r w:rsidR="00696B24">
        <w:t>.</w:t>
      </w:r>
    </w:p>
    <w:p w:rsidR="005E15EC" w:rsidRPr="0029403D" w:rsidRDefault="005E15EC" w:rsidP="00AD6932">
      <w:pPr>
        <w:spacing w:before="60"/>
        <w:ind w:firstLine="567"/>
        <w:jc w:val="both"/>
      </w:pPr>
      <w:r w:rsidRPr="0029403D">
        <w:t>Подробный анализ поступления налоговых</w:t>
      </w:r>
      <w:r w:rsidR="00535CEF">
        <w:t xml:space="preserve"> доходов представлен в таблице </w:t>
      </w:r>
      <w:r w:rsidR="000D1D55">
        <w:t>1</w:t>
      </w:r>
      <w:r w:rsidRPr="0029403D">
        <w:t>.</w:t>
      </w:r>
    </w:p>
    <w:p w:rsidR="005E15EC" w:rsidRPr="003C11A6" w:rsidRDefault="005E15EC" w:rsidP="00535CEF">
      <w:pPr>
        <w:spacing w:before="120" w:after="120"/>
        <w:jc w:val="center"/>
        <w:rPr>
          <w:sz w:val="22"/>
          <w:szCs w:val="22"/>
        </w:rPr>
      </w:pPr>
      <w:r w:rsidRPr="003C11A6">
        <w:rPr>
          <w:sz w:val="22"/>
          <w:szCs w:val="22"/>
        </w:rPr>
        <w:t xml:space="preserve">Таблица </w:t>
      </w:r>
      <w:r w:rsidR="000D1D55">
        <w:rPr>
          <w:sz w:val="22"/>
          <w:szCs w:val="22"/>
        </w:rPr>
        <w:t>1</w:t>
      </w:r>
      <w:r w:rsidRPr="003C11A6">
        <w:rPr>
          <w:sz w:val="22"/>
          <w:szCs w:val="22"/>
        </w:rPr>
        <w:t xml:space="preserve">. Структура </w:t>
      </w:r>
      <w:r w:rsidR="000A68BE" w:rsidRPr="003C11A6">
        <w:rPr>
          <w:sz w:val="22"/>
          <w:szCs w:val="22"/>
        </w:rPr>
        <w:t xml:space="preserve">и динамика поступления </w:t>
      </w:r>
      <w:r w:rsidRPr="003C11A6">
        <w:rPr>
          <w:sz w:val="22"/>
          <w:szCs w:val="22"/>
        </w:rPr>
        <w:t>налоговых доходов местного бюджета, тыс. руб.</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737"/>
        <w:gridCol w:w="794"/>
        <w:gridCol w:w="794"/>
        <w:gridCol w:w="794"/>
        <w:gridCol w:w="1531"/>
        <w:gridCol w:w="1531"/>
      </w:tblGrid>
      <w:tr w:rsidR="00BB7E0B" w:rsidRPr="0029403D" w:rsidTr="001D6AAD">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211"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3062" w:type="dxa"/>
            <w:gridSpan w:val="2"/>
            <w:vAlign w:val="center"/>
          </w:tcPr>
          <w:p w:rsidR="00BB7E0B" w:rsidRPr="0029403D" w:rsidRDefault="00BB7E0B" w:rsidP="0033234C">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AA4105">
        <w:trPr>
          <w:trHeight w:val="217"/>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E5742F" w:rsidP="00AA4105">
            <w:pPr>
              <w:spacing w:before="20" w:after="20"/>
              <w:jc w:val="center"/>
              <w:rPr>
                <w:i/>
                <w:sz w:val="20"/>
                <w:szCs w:val="20"/>
              </w:rPr>
            </w:pPr>
            <w:r>
              <w:rPr>
                <w:i/>
                <w:sz w:val="20"/>
                <w:szCs w:val="20"/>
              </w:rPr>
              <w:t>2013</w:t>
            </w:r>
          </w:p>
        </w:tc>
        <w:tc>
          <w:tcPr>
            <w:tcW w:w="737" w:type="dxa"/>
            <w:vAlign w:val="center"/>
          </w:tcPr>
          <w:p w:rsidR="00BB7E0B" w:rsidRPr="0029403D" w:rsidRDefault="00E5742F" w:rsidP="00AA4105">
            <w:pPr>
              <w:spacing w:before="20" w:after="20"/>
              <w:jc w:val="center"/>
              <w:rPr>
                <w:i/>
                <w:sz w:val="20"/>
                <w:szCs w:val="20"/>
              </w:rPr>
            </w:pPr>
            <w:r>
              <w:rPr>
                <w:i/>
                <w:sz w:val="20"/>
                <w:szCs w:val="20"/>
              </w:rPr>
              <w:t>2014</w:t>
            </w:r>
          </w:p>
        </w:tc>
        <w:tc>
          <w:tcPr>
            <w:tcW w:w="737" w:type="dxa"/>
            <w:vAlign w:val="center"/>
          </w:tcPr>
          <w:p w:rsidR="00BB7E0B" w:rsidRPr="0029403D" w:rsidRDefault="00E5742F" w:rsidP="00AA4105">
            <w:pPr>
              <w:spacing w:before="20" w:after="20"/>
              <w:jc w:val="center"/>
              <w:rPr>
                <w:i/>
                <w:sz w:val="20"/>
                <w:szCs w:val="20"/>
              </w:rPr>
            </w:pPr>
            <w:r>
              <w:rPr>
                <w:i/>
                <w:sz w:val="20"/>
                <w:szCs w:val="20"/>
              </w:rPr>
              <w:t>2015</w:t>
            </w:r>
          </w:p>
        </w:tc>
        <w:tc>
          <w:tcPr>
            <w:tcW w:w="794" w:type="dxa"/>
            <w:vAlign w:val="center"/>
          </w:tcPr>
          <w:p w:rsidR="00BB7E0B" w:rsidRPr="0029403D" w:rsidRDefault="00E5742F" w:rsidP="00AA4105">
            <w:pPr>
              <w:spacing w:before="20" w:after="20"/>
              <w:jc w:val="center"/>
              <w:rPr>
                <w:i/>
                <w:sz w:val="20"/>
                <w:szCs w:val="20"/>
              </w:rPr>
            </w:pPr>
            <w:r>
              <w:rPr>
                <w:i/>
                <w:sz w:val="20"/>
                <w:szCs w:val="20"/>
              </w:rPr>
              <w:t>2013</w:t>
            </w:r>
          </w:p>
        </w:tc>
        <w:tc>
          <w:tcPr>
            <w:tcW w:w="794" w:type="dxa"/>
            <w:vAlign w:val="center"/>
          </w:tcPr>
          <w:p w:rsidR="00BB7E0B" w:rsidRPr="0029403D" w:rsidRDefault="00E5742F" w:rsidP="00AA4105">
            <w:pPr>
              <w:spacing w:before="20" w:after="20"/>
              <w:jc w:val="center"/>
              <w:rPr>
                <w:i/>
                <w:sz w:val="20"/>
                <w:szCs w:val="20"/>
              </w:rPr>
            </w:pPr>
            <w:r>
              <w:rPr>
                <w:i/>
                <w:sz w:val="20"/>
                <w:szCs w:val="20"/>
              </w:rPr>
              <w:t>2014</w:t>
            </w:r>
          </w:p>
        </w:tc>
        <w:tc>
          <w:tcPr>
            <w:tcW w:w="794" w:type="dxa"/>
            <w:vAlign w:val="center"/>
          </w:tcPr>
          <w:p w:rsidR="00BB7E0B" w:rsidRPr="0029403D" w:rsidRDefault="00E5742F" w:rsidP="00AA4105">
            <w:pPr>
              <w:spacing w:before="20" w:after="20"/>
              <w:jc w:val="center"/>
              <w:rPr>
                <w:i/>
                <w:sz w:val="20"/>
                <w:szCs w:val="20"/>
              </w:rPr>
            </w:pPr>
            <w:r>
              <w:rPr>
                <w:i/>
                <w:sz w:val="20"/>
                <w:szCs w:val="20"/>
              </w:rPr>
              <w:t>2015</w:t>
            </w:r>
          </w:p>
        </w:tc>
        <w:tc>
          <w:tcPr>
            <w:tcW w:w="1531" w:type="dxa"/>
            <w:vAlign w:val="center"/>
          </w:tcPr>
          <w:p w:rsidR="00BB7E0B" w:rsidRPr="0029403D" w:rsidRDefault="00E5742F" w:rsidP="00AA4105">
            <w:pPr>
              <w:spacing w:before="20" w:after="20"/>
              <w:jc w:val="center"/>
              <w:rPr>
                <w:i/>
                <w:sz w:val="20"/>
                <w:szCs w:val="20"/>
              </w:rPr>
            </w:pPr>
            <w:r>
              <w:rPr>
                <w:i/>
                <w:sz w:val="20"/>
                <w:szCs w:val="20"/>
              </w:rPr>
              <w:t>2014</w:t>
            </w:r>
            <w:r w:rsidR="0033234C">
              <w:rPr>
                <w:i/>
                <w:sz w:val="20"/>
                <w:szCs w:val="20"/>
              </w:rPr>
              <w:t xml:space="preserve"> к </w:t>
            </w:r>
            <w:r>
              <w:rPr>
                <w:i/>
                <w:sz w:val="20"/>
                <w:szCs w:val="20"/>
              </w:rPr>
              <w:t>2013</w:t>
            </w:r>
          </w:p>
        </w:tc>
        <w:tc>
          <w:tcPr>
            <w:tcW w:w="1531" w:type="dxa"/>
            <w:vAlign w:val="center"/>
          </w:tcPr>
          <w:p w:rsidR="00BB7E0B" w:rsidRPr="0029403D" w:rsidRDefault="00E5742F" w:rsidP="00AA4105">
            <w:pPr>
              <w:spacing w:before="20" w:after="20"/>
              <w:jc w:val="center"/>
              <w:rPr>
                <w:i/>
                <w:sz w:val="20"/>
                <w:szCs w:val="20"/>
              </w:rPr>
            </w:pPr>
            <w:r>
              <w:rPr>
                <w:i/>
                <w:sz w:val="20"/>
                <w:szCs w:val="20"/>
              </w:rPr>
              <w:t>2015</w:t>
            </w:r>
            <w:r w:rsidR="0033234C">
              <w:rPr>
                <w:i/>
                <w:sz w:val="20"/>
                <w:szCs w:val="20"/>
              </w:rPr>
              <w:t xml:space="preserve"> к </w:t>
            </w:r>
            <w:r>
              <w:rPr>
                <w:i/>
                <w:sz w:val="20"/>
                <w:szCs w:val="20"/>
              </w:rPr>
              <w:t>2014</w:t>
            </w:r>
          </w:p>
        </w:tc>
      </w:tr>
      <w:tr w:rsidR="00696B24" w:rsidRPr="0029403D" w:rsidTr="00D2165D">
        <w:trPr>
          <w:trHeight w:val="70"/>
        </w:trPr>
        <w:tc>
          <w:tcPr>
            <w:tcW w:w="2211" w:type="dxa"/>
            <w:vAlign w:val="center"/>
          </w:tcPr>
          <w:p w:rsidR="00696B24" w:rsidRPr="0029403D" w:rsidRDefault="00696B24" w:rsidP="00D2165D">
            <w:pPr>
              <w:spacing w:before="40" w:after="40"/>
              <w:rPr>
                <w:sz w:val="22"/>
                <w:szCs w:val="22"/>
              </w:rPr>
            </w:pPr>
            <w:r w:rsidRPr="0029403D">
              <w:rPr>
                <w:sz w:val="22"/>
                <w:szCs w:val="22"/>
              </w:rPr>
              <w:t>НДФЛ</w:t>
            </w:r>
          </w:p>
        </w:tc>
        <w:tc>
          <w:tcPr>
            <w:tcW w:w="737" w:type="dxa"/>
            <w:vAlign w:val="center"/>
          </w:tcPr>
          <w:p w:rsidR="00696B24" w:rsidRPr="0029403D" w:rsidRDefault="00696B24" w:rsidP="00D2165D">
            <w:pPr>
              <w:spacing w:before="40" w:after="40"/>
              <w:jc w:val="center"/>
              <w:rPr>
                <w:sz w:val="22"/>
                <w:szCs w:val="22"/>
              </w:rPr>
            </w:pPr>
            <w:r>
              <w:rPr>
                <w:sz w:val="22"/>
                <w:szCs w:val="22"/>
              </w:rPr>
              <w:t>152,5</w:t>
            </w:r>
          </w:p>
        </w:tc>
        <w:tc>
          <w:tcPr>
            <w:tcW w:w="737" w:type="dxa"/>
            <w:vAlign w:val="center"/>
          </w:tcPr>
          <w:p w:rsidR="00696B24" w:rsidRPr="0029403D" w:rsidRDefault="00696B24" w:rsidP="00D2165D">
            <w:pPr>
              <w:spacing w:before="40" w:after="40"/>
              <w:jc w:val="center"/>
              <w:rPr>
                <w:sz w:val="22"/>
                <w:szCs w:val="22"/>
              </w:rPr>
            </w:pPr>
            <w:r>
              <w:rPr>
                <w:sz w:val="22"/>
                <w:szCs w:val="22"/>
              </w:rPr>
              <w:t>119,6</w:t>
            </w:r>
          </w:p>
        </w:tc>
        <w:tc>
          <w:tcPr>
            <w:tcW w:w="737" w:type="dxa"/>
            <w:vAlign w:val="center"/>
          </w:tcPr>
          <w:p w:rsidR="00696B24" w:rsidRPr="0029403D" w:rsidRDefault="00696B24" w:rsidP="00D2165D">
            <w:pPr>
              <w:spacing w:before="40" w:after="40"/>
              <w:jc w:val="center"/>
              <w:rPr>
                <w:sz w:val="22"/>
                <w:szCs w:val="22"/>
              </w:rPr>
            </w:pPr>
            <w:r>
              <w:rPr>
                <w:sz w:val="22"/>
                <w:szCs w:val="22"/>
              </w:rPr>
              <w:t>126,5</w:t>
            </w:r>
          </w:p>
        </w:tc>
        <w:tc>
          <w:tcPr>
            <w:tcW w:w="794" w:type="dxa"/>
            <w:vAlign w:val="center"/>
          </w:tcPr>
          <w:p w:rsidR="00696B24" w:rsidRPr="0029403D" w:rsidRDefault="00696B24" w:rsidP="00D2165D">
            <w:pPr>
              <w:spacing w:before="40" w:after="40"/>
              <w:jc w:val="center"/>
              <w:rPr>
                <w:sz w:val="22"/>
                <w:szCs w:val="22"/>
              </w:rPr>
            </w:pPr>
            <w:r>
              <w:rPr>
                <w:sz w:val="22"/>
                <w:szCs w:val="22"/>
              </w:rPr>
              <w:t>51,8%</w:t>
            </w:r>
          </w:p>
        </w:tc>
        <w:tc>
          <w:tcPr>
            <w:tcW w:w="794" w:type="dxa"/>
            <w:vAlign w:val="center"/>
          </w:tcPr>
          <w:p w:rsidR="00696B24" w:rsidRPr="0029403D" w:rsidRDefault="00696B24" w:rsidP="00D2165D">
            <w:pPr>
              <w:spacing w:before="40" w:after="40"/>
              <w:jc w:val="center"/>
              <w:rPr>
                <w:sz w:val="22"/>
                <w:szCs w:val="22"/>
              </w:rPr>
            </w:pPr>
            <w:r>
              <w:rPr>
                <w:sz w:val="22"/>
                <w:szCs w:val="22"/>
              </w:rPr>
              <w:t>50,6%</w:t>
            </w:r>
          </w:p>
        </w:tc>
        <w:tc>
          <w:tcPr>
            <w:tcW w:w="794" w:type="dxa"/>
            <w:vAlign w:val="center"/>
          </w:tcPr>
          <w:p w:rsidR="00696B24" w:rsidRPr="0029403D" w:rsidRDefault="00696B24" w:rsidP="00D2165D">
            <w:pPr>
              <w:spacing w:before="40" w:after="40"/>
              <w:jc w:val="center"/>
              <w:rPr>
                <w:sz w:val="22"/>
                <w:szCs w:val="22"/>
              </w:rPr>
            </w:pPr>
            <w:r>
              <w:rPr>
                <w:sz w:val="22"/>
                <w:szCs w:val="22"/>
              </w:rPr>
              <w:t>15,2%</w:t>
            </w:r>
          </w:p>
        </w:tc>
        <w:tc>
          <w:tcPr>
            <w:tcW w:w="1531" w:type="dxa"/>
            <w:vAlign w:val="center"/>
          </w:tcPr>
          <w:p w:rsidR="00696B24" w:rsidRPr="0029403D" w:rsidRDefault="00696B24" w:rsidP="00D2165D">
            <w:pPr>
              <w:spacing w:before="40" w:after="40"/>
              <w:jc w:val="center"/>
              <w:rPr>
                <w:sz w:val="22"/>
                <w:szCs w:val="22"/>
              </w:rPr>
            </w:pPr>
            <w:r>
              <w:rPr>
                <w:sz w:val="22"/>
                <w:szCs w:val="22"/>
              </w:rPr>
              <w:t>-32,9 / -21,6%</w:t>
            </w:r>
          </w:p>
        </w:tc>
        <w:tc>
          <w:tcPr>
            <w:tcW w:w="1531" w:type="dxa"/>
            <w:vAlign w:val="center"/>
          </w:tcPr>
          <w:p w:rsidR="00696B24" w:rsidRPr="0029403D" w:rsidRDefault="00696B24" w:rsidP="00D2165D">
            <w:pPr>
              <w:spacing w:before="40" w:after="40"/>
              <w:jc w:val="center"/>
              <w:rPr>
                <w:sz w:val="22"/>
                <w:szCs w:val="22"/>
              </w:rPr>
            </w:pPr>
            <w:r>
              <w:rPr>
                <w:sz w:val="22"/>
                <w:szCs w:val="22"/>
              </w:rPr>
              <w:t>6,9 / 5,8%</w:t>
            </w:r>
          </w:p>
        </w:tc>
      </w:tr>
      <w:tr w:rsidR="00696B24" w:rsidRPr="0029403D" w:rsidTr="00D2165D">
        <w:trPr>
          <w:trHeight w:val="145"/>
        </w:trPr>
        <w:tc>
          <w:tcPr>
            <w:tcW w:w="2211" w:type="dxa"/>
            <w:vAlign w:val="center"/>
          </w:tcPr>
          <w:p w:rsidR="00696B24" w:rsidRPr="0029403D" w:rsidRDefault="00696B24" w:rsidP="00D2165D">
            <w:pPr>
              <w:spacing w:before="40" w:after="40"/>
              <w:rPr>
                <w:sz w:val="22"/>
                <w:szCs w:val="22"/>
              </w:rPr>
            </w:pPr>
            <w:r>
              <w:rPr>
                <w:sz w:val="22"/>
                <w:szCs w:val="22"/>
              </w:rPr>
              <w:t>Акцизы</w:t>
            </w:r>
          </w:p>
        </w:tc>
        <w:tc>
          <w:tcPr>
            <w:tcW w:w="737" w:type="dxa"/>
            <w:vAlign w:val="center"/>
          </w:tcPr>
          <w:p w:rsidR="00696B24" w:rsidRPr="0029403D" w:rsidRDefault="00696B24" w:rsidP="00D2165D">
            <w:pPr>
              <w:spacing w:before="40" w:after="40"/>
              <w:jc w:val="center"/>
              <w:rPr>
                <w:sz w:val="22"/>
                <w:szCs w:val="22"/>
              </w:rPr>
            </w:pPr>
          </w:p>
        </w:tc>
        <w:tc>
          <w:tcPr>
            <w:tcW w:w="737" w:type="dxa"/>
            <w:vAlign w:val="center"/>
          </w:tcPr>
          <w:p w:rsidR="00696B24" w:rsidRPr="0029403D" w:rsidRDefault="00696B24" w:rsidP="00D2165D">
            <w:pPr>
              <w:spacing w:before="40" w:after="40"/>
              <w:jc w:val="center"/>
              <w:rPr>
                <w:sz w:val="22"/>
                <w:szCs w:val="22"/>
              </w:rPr>
            </w:pPr>
          </w:p>
        </w:tc>
        <w:tc>
          <w:tcPr>
            <w:tcW w:w="737" w:type="dxa"/>
            <w:vAlign w:val="center"/>
          </w:tcPr>
          <w:p w:rsidR="00696B24" w:rsidRPr="0029403D" w:rsidRDefault="00696B24" w:rsidP="00D2165D">
            <w:pPr>
              <w:spacing w:before="40" w:after="40"/>
              <w:jc w:val="center"/>
              <w:rPr>
                <w:sz w:val="22"/>
                <w:szCs w:val="22"/>
              </w:rPr>
            </w:pPr>
            <w:r>
              <w:rPr>
                <w:sz w:val="22"/>
                <w:szCs w:val="22"/>
              </w:rPr>
              <w:t>278,4</w:t>
            </w:r>
          </w:p>
        </w:tc>
        <w:tc>
          <w:tcPr>
            <w:tcW w:w="794" w:type="dxa"/>
            <w:vAlign w:val="center"/>
          </w:tcPr>
          <w:p w:rsidR="00696B24" w:rsidRPr="0029403D" w:rsidRDefault="00696B24" w:rsidP="00D2165D">
            <w:pPr>
              <w:spacing w:before="40" w:after="40"/>
              <w:jc w:val="center"/>
              <w:rPr>
                <w:sz w:val="22"/>
                <w:szCs w:val="22"/>
              </w:rPr>
            </w:pPr>
          </w:p>
        </w:tc>
        <w:tc>
          <w:tcPr>
            <w:tcW w:w="794" w:type="dxa"/>
            <w:vAlign w:val="center"/>
          </w:tcPr>
          <w:p w:rsidR="00696B24" w:rsidRPr="0029403D" w:rsidRDefault="00696B24" w:rsidP="00D2165D">
            <w:pPr>
              <w:spacing w:before="40" w:after="40"/>
              <w:jc w:val="center"/>
              <w:rPr>
                <w:sz w:val="22"/>
                <w:szCs w:val="22"/>
              </w:rPr>
            </w:pPr>
          </w:p>
        </w:tc>
        <w:tc>
          <w:tcPr>
            <w:tcW w:w="794" w:type="dxa"/>
            <w:vAlign w:val="center"/>
          </w:tcPr>
          <w:p w:rsidR="00696B24" w:rsidRPr="0029403D" w:rsidRDefault="00696B24" w:rsidP="00D2165D">
            <w:pPr>
              <w:spacing w:before="40" w:after="40"/>
              <w:jc w:val="center"/>
              <w:rPr>
                <w:sz w:val="22"/>
                <w:szCs w:val="22"/>
              </w:rPr>
            </w:pPr>
            <w:r>
              <w:rPr>
                <w:sz w:val="22"/>
                <w:szCs w:val="22"/>
              </w:rPr>
              <w:t>33,5%</w:t>
            </w:r>
          </w:p>
        </w:tc>
        <w:tc>
          <w:tcPr>
            <w:tcW w:w="1531" w:type="dxa"/>
            <w:vAlign w:val="center"/>
          </w:tcPr>
          <w:p w:rsidR="00696B24" w:rsidRPr="0029403D" w:rsidRDefault="00696B24" w:rsidP="00D2165D">
            <w:pPr>
              <w:spacing w:before="40" w:after="40"/>
              <w:jc w:val="center"/>
              <w:rPr>
                <w:sz w:val="22"/>
                <w:szCs w:val="22"/>
              </w:rPr>
            </w:pPr>
          </w:p>
        </w:tc>
        <w:tc>
          <w:tcPr>
            <w:tcW w:w="1531" w:type="dxa"/>
            <w:vAlign w:val="center"/>
          </w:tcPr>
          <w:p w:rsidR="00696B24" w:rsidRPr="0029403D" w:rsidRDefault="00696B24" w:rsidP="00D2165D">
            <w:pPr>
              <w:spacing w:before="40" w:after="40"/>
              <w:jc w:val="center"/>
              <w:rPr>
                <w:sz w:val="22"/>
                <w:szCs w:val="22"/>
              </w:rPr>
            </w:pPr>
          </w:p>
        </w:tc>
      </w:tr>
      <w:tr w:rsidR="00696B24" w:rsidRPr="0029403D" w:rsidTr="00D2165D">
        <w:trPr>
          <w:trHeight w:val="70"/>
        </w:trPr>
        <w:tc>
          <w:tcPr>
            <w:tcW w:w="2211" w:type="dxa"/>
            <w:vAlign w:val="center"/>
          </w:tcPr>
          <w:p w:rsidR="00696B24" w:rsidRPr="0029403D" w:rsidRDefault="00696B24" w:rsidP="00D2165D">
            <w:pPr>
              <w:spacing w:before="40" w:after="40"/>
              <w:rPr>
                <w:sz w:val="22"/>
                <w:szCs w:val="22"/>
              </w:rPr>
            </w:pPr>
            <w:r>
              <w:rPr>
                <w:sz w:val="22"/>
                <w:szCs w:val="22"/>
              </w:rPr>
              <w:t>Единый с/х налог</w:t>
            </w:r>
          </w:p>
        </w:tc>
        <w:tc>
          <w:tcPr>
            <w:tcW w:w="737" w:type="dxa"/>
            <w:vAlign w:val="center"/>
          </w:tcPr>
          <w:p w:rsidR="00696B24" w:rsidRPr="0029403D" w:rsidRDefault="00696B24" w:rsidP="00D2165D">
            <w:pPr>
              <w:spacing w:before="40" w:after="40"/>
              <w:jc w:val="center"/>
              <w:rPr>
                <w:sz w:val="22"/>
                <w:szCs w:val="22"/>
              </w:rPr>
            </w:pPr>
          </w:p>
        </w:tc>
        <w:tc>
          <w:tcPr>
            <w:tcW w:w="737" w:type="dxa"/>
            <w:vAlign w:val="center"/>
          </w:tcPr>
          <w:p w:rsidR="00696B24" w:rsidRPr="0029403D" w:rsidRDefault="00696B24" w:rsidP="00D2165D">
            <w:pPr>
              <w:spacing w:before="40" w:after="40"/>
              <w:jc w:val="center"/>
              <w:rPr>
                <w:sz w:val="22"/>
                <w:szCs w:val="22"/>
              </w:rPr>
            </w:pPr>
            <w:r>
              <w:rPr>
                <w:sz w:val="22"/>
                <w:szCs w:val="22"/>
              </w:rPr>
              <w:t>0,4</w:t>
            </w:r>
          </w:p>
        </w:tc>
        <w:tc>
          <w:tcPr>
            <w:tcW w:w="737" w:type="dxa"/>
            <w:vAlign w:val="center"/>
          </w:tcPr>
          <w:p w:rsidR="00696B24" w:rsidRPr="0029403D" w:rsidRDefault="00696B24" w:rsidP="00D2165D">
            <w:pPr>
              <w:spacing w:before="40" w:after="40"/>
              <w:jc w:val="center"/>
              <w:rPr>
                <w:sz w:val="22"/>
                <w:szCs w:val="22"/>
              </w:rPr>
            </w:pPr>
            <w:r>
              <w:rPr>
                <w:sz w:val="22"/>
                <w:szCs w:val="22"/>
              </w:rPr>
              <w:t>0,1</w:t>
            </w:r>
          </w:p>
        </w:tc>
        <w:tc>
          <w:tcPr>
            <w:tcW w:w="794" w:type="dxa"/>
            <w:vAlign w:val="center"/>
          </w:tcPr>
          <w:p w:rsidR="00696B24" w:rsidRPr="0029403D" w:rsidRDefault="00696B24" w:rsidP="00D2165D">
            <w:pPr>
              <w:spacing w:before="40" w:after="40"/>
              <w:jc w:val="center"/>
              <w:rPr>
                <w:sz w:val="22"/>
                <w:szCs w:val="22"/>
              </w:rPr>
            </w:pPr>
          </w:p>
        </w:tc>
        <w:tc>
          <w:tcPr>
            <w:tcW w:w="794" w:type="dxa"/>
            <w:vAlign w:val="center"/>
          </w:tcPr>
          <w:p w:rsidR="00696B24" w:rsidRPr="0029403D" w:rsidRDefault="00696B24" w:rsidP="00D2165D">
            <w:pPr>
              <w:spacing w:before="40" w:after="40"/>
              <w:jc w:val="center"/>
              <w:rPr>
                <w:sz w:val="22"/>
                <w:szCs w:val="22"/>
              </w:rPr>
            </w:pPr>
            <w:r>
              <w:rPr>
                <w:sz w:val="22"/>
                <w:szCs w:val="22"/>
              </w:rPr>
              <w:t>0,2%</w:t>
            </w:r>
          </w:p>
        </w:tc>
        <w:tc>
          <w:tcPr>
            <w:tcW w:w="794" w:type="dxa"/>
            <w:vAlign w:val="center"/>
          </w:tcPr>
          <w:p w:rsidR="00696B24" w:rsidRPr="0029403D" w:rsidRDefault="00696B24" w:rsidP="00D2165D">
            <w:pPr>
              <w:spacing w:before="40" w:after="40"/>
              <w:jc w:val="center"/>
              <w:rPr>
                <w:sz w:val="22"/>
                <w:szCs w:val="22"/>
              </w:rPr>
            </w:pPr>
            <w:r>
              <w:rPr>
                <w:sz w:val="22"/>
                <w:szCs w:val="22"/>
              </w:rPr>
              <w:t>0,0%</w:t>
            </w:r>
          </w:p>
        </w:tc>
        <w:tc>
          <w:tcPr>
            <w:tcW w:w="1531" w:type="dxa"/>
            <w:vAlign w:val="center"/>
          </w:tcPr>
          <w:p w:rsidR="00696B24" w:rsidRPr="0029403D" w:rsidRDefault="00696B24" w:rsidP="00D2165D">
            <w:pPr>
              <w:spacing w:before="40" w:after="40"/>
              <w:jc w:val="center"/>
              <w:rPr>
                <w:sz w:val="22"/>
                <w:szCs w:val="22"/>
              </w:rPr>
            </w:pPr>
          </w:p>
        </w:tc>
        <w:tc>
          <w:tcPr>
            <w:tcW w:w="1531" w:type="dxa"/>
            <w:vAlign w:val="center"/>
          </w:tcPr>
          <w:p w:rsidR="00696B24" w:rsidRPr="0029403D" w:rsidRDefault="00696B24" w:rsidP="00D2165D">
            <w:pPr>
              <w:spacing w:before="40" w:after="40"/>
              <w:jc w:val="center"/>
              <w:rPr>
                <w:sz w:val="22"/>
                <w:szCs w:val="22"/>
              </w:rPr>
            </w:pPr>
            <w:r>
              <w:rPr>
                <w:sz w:val="22"/>
                <w:szCs w:val="22"/>
              </w:rPr>
              <w:t>-0,3 / -75,0%</w:t>
            </w:r>
          </w:p>
        </w:tc>
      </w:tr>
      <w:tr w:rsidR="00696B24" w:rsidRPr="0029403D" w:rsidTr="00CF32A1">
        <w:tc>
          <w:tcPr>
            <w:tcW w:w="2211" w:type="dxa"/>
          </w:tcPr>
          <w:p w:rsidR="00696B24" w:rsidRPr="0029403D" w:rsidRDefault="00696B24" w:rsidP="00877B5F">
            <w:pPr>
              <w:rPr>
                <w:sz w:val="22"/>
                <w:szCs w:val="22"/>
              </w:rPr>
            </w:pPr>
            <w:r w:rsidRPr="0029403D">
              <w:rPr>
                <w:sz w:val="22"/>
                <w:szCs w:val="22"/>
              </w:rPr>
              <w:t>Налог на имущество физических лиц</w:t>
            </w:r>
          </w:p>
        </w:tc>
        <w:tc>
          <w:tcPr>
            <w:tcW w:w="737" w:type="dxa"/>
            <w:vAlign w:val="center"/>
          </w:tcPr>
          <w:p w:rsidR="00696B24" w:rsidRPr="0029403D" w:rsidRDefault="00696B24" w:rsidP="00E95681">
            <w:pPr>
              <w:jc w:val="center"/>
              <w:rPr>
                <w:sz w:val="22"/>
                <w:szCs w:val="22"/>
              </w:rPr>
            </w:pPr>
            <w:r>
              <w:rPr>
                <w:sz w:val="22"/>
                <w:szCs w:val="22"/>
              </w:rPr>
              <w:t>2,1</w:t>
            </w:r>
          </w:p>
        </w:tc>
        <w:tc>
          <w:tcPr>
            <w:tcW w:w="737" w:type="dxa"/>
            <w:vAlign w:val="center"/>
          </w:tcPr>
          <w:p w:rsidR="00696B24" w:rsidRPr="0029403D" w:rsidRDefault="00696B24" w:rsidP="00E95681">
            <w:pPr>
              <w:jc w:val="center"/>
              <w:rPr>
                <w:sz w:val="22"/>
                <w:szCs w:val="22"/>
              </w:rPr>
            </w:pPr>
            <w:r>
              <w:rPr>
                <w:sz w:val="22"/>
                <w:szCs w:val="22"/>
              </w:rPr>
              <w:t>4,4</w:t>
            </w:r>
          </w:p>
        </w:tc>
        <w:tc>
          <w:tcPr>
            <w:tcW w:w="737" w:type="dxa"/>
            <w:vAlign w:val="center"/>
          </w:tcPr>
          <w:p w:rsidR="00696B24" w:rsidRPr="0029403D" w:rsidRDefault="00696B24" w:rsidP="00877B5F">
            <w:pPr>
              <w:jc w:val="center"/>
              <w:rPr>
                <w:sz w:val="22"/>
                <w:szCs w:val="22"/>
              </w:rPr>
            </w:pPr>
            <w:r>
              <w:rPr>
                <w:sz w:val="22"/>
                <w:szCs w:val="22"/>
              </w:rPr>
              <w:t>4,0</w:t>
            </w:r>
          </w:p>
        </w:tc>
        <w:tc>
          <w:tcPr>
            <w:tcW w:w="794" w:type="dxa"/>
            <w:vAlign w:val="center"/>
          </w:tcPr>
          <w:p w:rsidR="00696B24" w:rsidRPr="0029403D" w:rsidRDefault="00696B24" w:rsidP="00E95681">
            <w:pPr>
              <w:jc w:val="center"/>
              <w:rPr>
                <w:sz w:val="22"/>
                <w:szCs w:val="22"/>
              </w:rPr>
            </w:pPr>
            <w:r>
              <w:rPr>
                <w:sz w:val="22"/>
                <w:szCs w:val="22"/>
              </w:rPr>
              <w:t>0,7%</w:t>
            </w:r>
          </w:p>
        </w:tc>
        <w:tc>
          <w:tcPr>
            <w:tcW w:w="794" w:type="dxa"/>
            <w:vAlign w:val="center"/>
          </w:tcPr>
          <w:p w:rsidR="00696B24" w:rsidRPr="0029403D" w:rsidRDefault="00696B24" w:rsidP="00E95681">
            <w:pPr>
              <w:jc w:val="center"/>
              <w:rPr>
                <w:sz w:val="22"/>
                <w:szCs w:val="22"/>
              </w:rPr>
            </w:pPr>
            <w:r>
              <w:rPr>
                <w:sz w:val="22"/>
                <w:szCs w:val="22"/>
              </w:rPr>
              <w:t>1,9%</w:t>
            </w:r>
          </w:p>
        </w:tc>
        <w:tc>
          <w:tcPr>
            <w:tcW w:w="794" w:type="dxa"/>
            <w:vAlign w:val="center"/>
          </w:tcPr>
          <w:p w:rsidR="00696B24" w:rsidRPr="0029403D" w:rsidRDefault="00696B24" w:rsidP="00877B5F">
            <w:pPr>
              <w:jc w:val="center"/>
              <w:rPr>
                <w:sz w:val="22"/>
                <w:szCs w:val="22"/>
              </w:rPr>
            </w:pPr>
            <w:r>
              <w:rPr>
                <w:sz w:val="22"/>
                <w:szCs w:val="22"/>
              </w:rPr>
              <w:t>0,5%</w:t>
            </w:r>
          </w:p>
        </w:tc>
        <w:tc>
          <w:tcPr>
            <w:tcW w:w="1531" w:type="dxa"/>
            <w:vAlign w:val="center"/>
          </w:tcPr>
          <w:p w:rsidR="00696B24" w:rsidRPr="0029403D" w:rsidRDefault="00696B24" w:rsidP="00E95681">
            <w:pPr>
              <w:jc w:val="center"/>
              <w:rPr>
                <w:sz w:val="22"/>
                <w:szCs w:val="22"/>
              </w:rPr>
            </w:pPr>
            <w:r>
              <w:rPr>
                <w:sz w:val="22"/>
                <w:szCs w:val="22"/>
              </w:rPr>
              <w:t>2,3 / 109,5%</w:t>
            </w:r>
          </w:p>
        </w:tc>
        <w:tc>
          <w:tcPr>
            <w:tcW w:w="1531" w:type="dxa"/>
            <w:vAlign w:val="center"/>
          </w:tcPr>
          <w:p w:rsidR="00696B24" w:rsidRPr="0029403D" w:rsidRDefault="00696B24" w:rsidP="00696B24">
            <w:pPr>
              <w:jc w:val="center"/>
              <w:rPr>
                <w:sz w:val="22"/>
                <w:szCs w:val="22"/>
              </w:rPr>
            </w:pPr>
            <w:r>
              <w:rPr>
                <w:sz w:val="22"/>
                <w:szCs w:val="22"/>
              </w:rPr>
              <w:t>-0,4 / -9,1%</w:t>
            </w:r>
          </w:p>
        </w:tc>
      </w:tr>
      <w:tr w:rsidR="00696B24" w:rsidRPr="0029403D" w:rsidTr="00D2165D">
        <w:trPr>
          <w:trHeight w:val="70"/>
        </w:trPr>
        <w:tc>
          <w:tcPr>
            <w:tcW w:w="2211" w:type="dxa"/>
          </w:tcPr>
          <w:p w:rsidR="00696B24" w:rsidRPr="0029403D" w:rsidRDefault="00696B24" w:rsidP="00D2165D">
            <w:pPr>
              <w:spacing w:before="40" w:after="40"/>
              <w:jc w:val="both"/>
              <w:rPr>
                <w:sz w:val="22"/>
                <w:szCs w:val="22"/>
              </w:rPr>
            </w:pPr>
            <w:r w:rsidRPr="0029403D">
              <w:rPr>
                <w:sz w:val="22"/>
                <w:szCs w:val="22"/>
              </w:rPr>
              <w:t>Земельный налог</w:t>
            </w:r>
          </w:p>
        </w:tc>
        <w:tc>
          <w:tcPr>
            <w:tcW w:w="737" w:type="dxa"/>
            <w:vAlign w:val="center"/>
          </w:tcPr>
          <w:p w:rsidR="00696B24" w:rsidRPr="0029403D" w:rsidRDefault="00696B24" w:rsidP="00D2165D">
            <w:pPr>
              <w:spacing w:before="40" w:after="40"/>
              <w:jc w:val="center"/>
              <w:rPr>
                <w:sz w:val="22"/>
                <w:szCs w:val="22"/>
              </w:rPr>
            </w:pPr>
            <w:r>
              <w:rPr>
                <w:sz w:val="22"/>
                <w:szCs w:val="22"/>
              </w:rPr>
              <w:t>139,8</w:t>
            </w:r>
          </w:p>
        </w:tc>
        <w:tc>
          <w:tcPr>
            <w:tcW w:w="737" w:type="dxa"/>
            <w:vAlign w:val="center"/>
          </w:tcPr>
          <w:p w:rsidR="00696B24" w:rsidRPr="0029403D" w:rsidRDefault="00696B24" w:rsidP="00D2165D">
            <w:pPr>
              <w:spacing w:before="40" w:after="40"/>
              <w:jc w:val="center"/>
              <w:rPr>
                <w:sz w:val="22"/>
                <w:szCs w:val="22"/>
              </w:rPr>
            </w:pPr>
            <w:r>
              <w:rPr>
                <w:sz w:val="22"/>
                <w:szCs w:val="22"/>
              </w:rPr>
              <w:t>111,9</w:t>
            </w:r>
          </w:p>
        </w:tc>
        <w:tc>
          <w:tcPr>
            <w:tcW w:w="737" w:type="dxa"/>
            <w:vAlign w:val="center"/>
          </w:tcPr>
          <w:p w:rsidR="00696B24" w:rsidRPr="0029403D" w:rsidRDefault="00696B24" w:rsidP="00D2165D">
            <w:pPr>
              <w:spacing w:before="40" w:after="40"/>
              <w:jc w:val="center"/>
              <w:rPr>
                <w:sz w:val="22"/>
                <w:szCs w:val="22"/>
              </w:rPr>
            </w:pPr>
            <w:r>
              <w:rPr>
                <w:sz w:val="22"/>
                <w:szCs w:val="22"/>
              </w:rPr>
              <w:t>422,4</w:t>
            </w:r>
          </w:p>
        </w:tc>
        <w:tc>
          <w:tcPr>
            <w:tcW w:w="794" w:type="dxa"/>
            <w:vAlign w:val="center"/>
          </w:tcPr>
          <w:p w:rsidR="00696B24" w:rsidRPr="0029403D" w:rsidRDefault="00696B24" w:rsidP="00D2165D">
            <w:pPr>
              <w:spacing w:before="40" w:after="40"/>
              <w:jc w:val="center"/>
              <w:rPr>
                <w:sz w:val="22"/>
                <w:szCs w:val="22"/>
              </w:rPr>
            </w:pPr>
            <w:r>
              <w:rPr>
                <w:sz w:val="22"/>
                <w:szCs w:val="22"/>
              </w:rPr>
              <w:t>47,5%</w:t>
            </w:r>
          </w:p>
        </w:tc>
        <w:tc>
          <w:tcPr>
            <w:tcW w:w="794" w:type="dxa"/>
            <w:vAlign w:val="center"/>
          </w:tcPr>
          <w:p w:rsidR="00696B24" w:rsidRPr="0029403D" w:rsidRDefault="00696B24" w:rsidP="00D2165D">
            <w:pPr>
              <w:spacing w:before="40" w:after="40"/>
              <w:jc w:val="center"/>
              <w:rPr>
                <w:sz w:val="22"/>
                <w:szCs w:val="22"/>
              </w:rPr>
            </w:pPr>
            <w:r>
              <w:rPr>
                <w:sz w:val="22"/>
                <w:szCs w:val="22"/>
              </w:rPr>
              <w:t>47,4%</w:t>
            </w:r>
          </w:p>
        </w:tc>
        <w:tc>
          <w:tcPr>
            <w:tcW w:w="794" w:type="dxa"/>
            <w:vAlign w:val="center"/>
          </w:tcPr>
          <w:p w:rsidR="00696B24" w:rsidRPr="0029403D" w:rsidRDefault="00696B24" w:rsidP="00D2165D">
            <w:pPr>
              <w:spacing w:before="40" w:after="40"/>
              <w:jc w:val="center"/>
              <w:rPr>
                <w:sz w:val="22"/>
                <w:szCs w:val="22"/>
              </w:rPr>
            </w:pPr>
            <w:r>
              <w:rPr>
                <w:sz w:val="22"/>
                <w:szCs w:val="22"/>
              </w:rPr>
              <w:t>50,8%</w:t>
            </w:r>
          </w:p>
        </w:tc>
        <w:tc>
          <w:tcPr>
            <w:tcW w:w="1531" w:type="dxa"/>
            <w:vAlign w:val="center"/>
          </w:tcPr>
          <w:p w:rsidR="00696B24" w:rsidRPr="0029403D" w:rsidRDefault="00696B24" w:rsidP="00D2165D">
            <w:pPr>
              <w:spacing w:before="40" w:after="40"/>
              <w:jc w:val="center"/>
              <w:rPr>
                <w:sz w:val="22"/>
                <w:szCs w:val="22"/>
              </w:rPr>
            </w:pPr>
            <w:r>
              <w:rPr>
                <w:sz w:val="22"/>
                <w:szCs w:val="22"/>
              </w:rPr>
              <w:t>-27,9 / -20,0%</w:t>
            </w:r>
          </w:p>
        </w:tc>
        <w:tc>
          <w:tcPr>
            <w:tcW w:w="1531" w:type="dxa"/>
            <w:vAlign w:val="center"/>
          </w:tcPr>
          <w:p w:rsidR="00696B24" w:rsidRPr="0029403D" w:rsidRDefault="00696B24" w:rsidP="00D2165D">
            <w:pPr>
              <w:spacing w:before="40" w:after="40"/>
              <w:jc w:val="center"/>
              <w:rPr>
                <w:sz w:val="22"/>
                <w:szCs w:val="22"/>
              </w:rPr>
            </w:pPr>
            <w:r>
              <w:rPr>
                <w:sz w:val="22"/>
                <w:szCs w:val="22"/>
              </w:rPr>
              <w:t>310,5 / 3,8 раз</w:t>
            </w:r>
          </w:p>
        </w:tc>
      </w:tr>
      <w:tr w:rsidR="00696B24" w:rsidRPr="0029403D" w:rsidTr="00D2165D">
        <w:trPr>
          <w:trHeight w:val="137"/>
        </w:trPr>
        <w:tc>
          <w:tcPr>
            <w:tcW w:w="2211" w:type="dxa"/>
          </w:tcPr>
          <w:p w:rsidR="00696B24" w:rsidRPr="0029403D" w:rsidRDefault="00696B24" w:rsidP="00D2165D">
            <w:pPr>
              <w:spacing w:before="40" w:after="40"/>
              <w:jc w:val="both"/>
              <w:rPr>
                <w:sz w:val="22"/>
                <w:szCs w:val="22"/>
              </w:rPr>
            </w:pPr>
            <w:r>
              <w:rPr>
                <w:sz w:val="22"/>
                <w:szCs w:val="22"/>
              </w:rPr>
              <w:t>Госпошлина</w:t>
            </w:r>
          </w:p>
        </w:tc>
        <w:tc>
          <w:tcPr>
            <w:tcW w:w="737" w:type="dxa"/>
            <w:vAlign w:val="center"/>
          </w:tcPr>
          <w:p w:rsidR="00696B24" w:rsidRPr="0029403D" w:rsidRDefault="00696B24" w:rsidP="00D2165D">
            <w:pPr>
              <w:spacing w:before="40" w:after="40"/>
              <w:jc w:val="center"/>
              <w:rPr>
                <w:sz w:val="22"/>
                <w:szCs w:val="22"/>
              </w:rPr>
            </w:pPr>
          </w:p>
        </w:tc>
        <w:tc>
          <w:tcPr>
            <w:tcW w:w="737" w:type="dxa"/>
            <w:vAlign w:val="center"/>
          </w:tcPr>
          <w:p w:rsidR="00696B24" w:rsidRPr="0029403D" w:rsidRDefault="00696B24" w:rsidP="00D2165D">
            <w:pPr>
              <w:spacing w:before="40" w:after="40"/>
              <w:jc w:val="center"/>
              <w:rPr>
                <w:sz w:val="22"/>
                <w:szCs w:val="22"/>
              </w:rPr>
            </w:pPr>
          </w:p>
        </w:tc>
        <w:tc>
          <w:tcPr>
            <w:tcW w:w="737" w:type="dxa"/>
            <w:vAlign w:val="center"/>
          </w:tcPr>
          <w:p w:rsidR="00696B24" w:rsidRPr="0029403D" w:rsidRDefault="00696B24" w:rsidP="00D2165D">
            <w:pPr>
              <w:spacing w:before="40" w:after="40"/>
              <w:jc w:val="center"/>
              <w:rPr>
                <w:sz w:val="22"/>
                <w:szCs w:val="22"/>
              </w:rPr>
            </w:pPr>
            <w:r>
              <w:rPr>
                <w:sz w:val="22"/>
                <w:szCs w:val="22"/>
              </w:rPr>
              <w:t>0,5</w:t>
            </w:r>
          </w:p>
        </w:tc>
        <w:tc>
          <w:tcPr>
            <w:tcW w:w="794" w:type="dxa"/>
            <w:vAlign w:val="center"/>
          </w:tcPr>
          <w:p w:rsidR="00696B24" w:rsidRPr="0029403D" w:rsidRDefault="00696B24" w:rsidP="00D2165D">
            <w:pPr>
              <w:spacing w:before="40" w:after="40"/>
              <w:jc w:val="center"/>
              <w:rPr>
                <w:sz w:val="22"/>
                <w:szCs w:val="22"/>
              </w:rPr>
            </w:pPr>
          </w:p>
        </w:tc>
        <w:tc>
          <w:tcPr>
            <w:tcW w:w="794" w:type="dxa"/>
            <w:vAlign w:val="center"/>
          </w:tcPr>
          <w:p w:rsidR="00696B24" w:rsidRPr="0029403D" w:rsidRDefault="00696B24" w:rsidP="00D2165D">
            <w:pPr>
              <w:spacing w:before="40" w:after="40"/>
              <w:jc w:val="center"/>
              <w:rPr>
                <w:sz w:val="22"/>
                <w:szCs w:val="22"/>
              </w:rPr>
            </w:pPr>
          </w:p>
        </w:tc>
        <w:tc>
          <w:tcPr>
            <w:tcW w:w="794" w:type="dxa"/>
            <w:vAlign w:val="center"/>
          </w:tcPr>
          <w:p w:rsidR="00696B24" w:rsidRPr="0029403D" w:rsidRDefault="00696B24" w:rsidP="00D2165D">
            <w:pPr>
              <w:spacing w:before="40" w:after="40"/>
              <w:jc w:val="center"/>
              <w:rPr>
                <w:sz w:val="22"/>
                <w:szCs w:val="22"/>
              </w:rPr>
            </w:pPr>
            <w:r>
              <w:rPr>
                <w:sz w:val="22"/>
                <w:szCs w:val="22"/>
              </w:rPr>
              <w:t>0,4%</w:t>
            </w:r>
          </w:p>
        </w:tc>
        <w:tc>
          <w:tcPr>
            <w:tcW w:w="1531" w:type="dxa"/>
            <w:vAlign w:val="center"/>
          </w:tcPr>
          <w:p w:rsidR="00696B24" w:rsidRPr="0029403D" w:rsidRDefault="00696B24" w:rsidP="00D2165D">
            <w:pPr>
              <w:spacing w:before="40" w:after="40"/>
              <w:jc w:val="center"/>
              <w:rPr>
                <w:sz w:val="22"/>
                <w:szCs w:val="22"/>
              </w:rPr>
            </w:pPr>
          </w:p>
        </w:tc>
        <w:tc>
          <w:tcPr>
            <w:tcW w:w="1531" w:type="dxa"/>
            <w:vAlign w:val="center"/>
          </w:tcPr>
          <w:p w:rsidR="00696B24" w:rsidRPr="0029403D" w:rsidRDefault="00696B24" w:rsidP="00D2165D">
            <w:pPr>
              <w:spacing w:before="40" w:after="40"/>
              <w:jc w:val="center"/>
              <w:rPr>
                <w:sz w:val="22"/>
                <w:szCs w:val="22"/>
              </w:rPr>
            </w:pPr>
          </w:p>
        </w:tc>
      </w:tr>
      <w:tr w:rsidR="00696B24" w:rsidRPr="0029403D" w:rsidTr="00CF32A1">
        <w:tc>
          <w:tcPr>
            <w:tcW w:w="2211" w:type="dxa"/>
          </w:tcPr>
          <w:p w:rsidR="00696B24" w:rsidRPr="0029403D" w:rsidRDefault="00696B24" w:rsidP="00877B5F">
            <w:pPr>
              <w:rPr>
                <w:b/>
                <w:sz w:val="22"/>
                <w:szCs w:val="22"/>
              </w:rPr>
            </w:pPr>
            <w:r w:rsidRPr="0029403D">
              <w:rPr>
                <w:b/>
                <w:sz w:val="22"/>
                <w:szCs w:val="22"/>
              </w:rPr>
              <w:t>Итого налоговых доходов</w:t>
            </w:r>
          </w:p>
        </w:tc>
        <w:tc>
          <w:tcPr>
            <w:tcW w:w="737" w:type="dxa"/>
            <w:vAlign w:val="center"/>
          </w:tcPr>
          <w:p w:rsidR="00696B24" w:rsidRPr="0029403D" w:rsidRDefault="00696B24" w:rsidP="00E95681">
            <w:pPr>
              <w:jc w:val="center"/>
              <w:rPr>
                <w:b/>
                <w:sz w:val="22"/>
                <w:szCs w:val="22"/>
              </w:rPr>
            </w:pPr>
            <w:r>
              <w:rPr>
                <w:b/>
                <w:sz w:val="22"/>
                <w:szCs w:val="22"/>
              </w:rPr>
              <w:t>294,4</w:t>
            </w:r>
          </w:p>
        </w:tc>
        <w:tc>
          <w:tcPr>
            <w:tcW w:w="737" w:type="dxa"/>
            <w:vAlign w:val="center"/>
          </w:tcPr>
          <w:p w:rsidR="00696B24" w:rsidRPr="0029403D" w:rsidRDefault="00696B24" w:rsidP="00E95681">
            <w:pPr>
              <w:jc w:val="center"/>
              <w:rPr>
                <w:b/>
                <w:sz w:val="22"/>
                <w:szCs w:val="22"/>
              </w:rPr>
            </w:pPr>
            <w:r>
              <w:rPr>
                <w:b/>
                <w:sz w:val="22"/>
                <w:szCs w:val="22"/>
              </w:rPr>
              <w:t>236,3</w:t>
            </w:r>
          </w:p>
        </w:tc>
        <w:tc>
          <w:tcPr>
            <w:tcW w:w="737" w:type="dxa"/>
            <w:vAlign w:val="center"/>
          </w:tcPr>
          <w:p w:rsidR="00696B24" w:rsidRPr="0029403D" w:rsidRDefault="00696B24" w:rsidP="00877B5F">
            <w:pPr>
              <w:jc w:val="center"/>
              <w:rPr>
                <w:b/>
                <w:sz w:val="22"/>
                <w:szCs w:val="22"/>
              </w:rPr>
            </w:pPr>
            <w:r>
              <w:rPr>
                <w:b/>
                <w:sz w:val="22"/>
                <w:szCs w:val="22"/>
              </w:rPr>
              <w:t>831,9</w:t>
            </w:r>
          </w:p>
        </w:tc>
        <w:tc>
          <w:tcPr>
            <w:tcW w:w="794" w:type="dxa"/>
            <w:vAlign w:val="center"/>
          </w:tcPr>
          <w:p w:rsidR="00696B24" w:rsidRPr="0029403D" w:rsidRDefault="00696B24" w:rsidP="00877B5F">
            <w:pPr>
              <w:jc w:val="center"/>
              <w:rPr>
                <w:b/>
                <w:sz w:val="22"/>
                <w:szCs w:val="22"/>
              </w:rPr>
            </w:pPr>
            <w:r w:rsidRPr="0029403D">
              <w:rPr>
                <w:b/>
                <w:sz w:val="22"/>
                <w:szCs w:val="22"/>
              </w:rPr>
              <w:t>100%</w:t>
            </w:r>
          </w:p>
        </w:tc>
        <w:tc>
          <w:tcPr>
            <w:tcW w:w="794" w:type="dxa"/>
            <w:vAlign w:val="center"/>
          </w:tcPr>
          <w:p w:rsidR="00696B24" w:rsidRPr="0029403D" w:rsidRDefault="00696B24" w:rsidP="00877B5F">
            <w:pPr>
              <w:jc w:val="center"/>
              <w:rPr>
                <w:b/>
                <w:sz w:val="22"/>
                <w:szCs w:val="22"/>
              </w:rPr>
            </w:pPr>
            <w:r w:rsidRPr="0029403D">
              <w:rPr>
                <w:b/>
                <w:sz w:val="22"/>
                <w:szCs w:val="22"/>
              </w:rPr>
              <w:t>100%</w:t>
            </w:r>
          </w:p>
        </w:tc>
        <w:tc>
          <w:tcPr>
            <w:tcW w:w="794" w:type="dxa"/>
            <w:vAlign w:val="center"/>
          </w:tcPr>
          <w:p w:rsidR="00696B24" w:rsidRPr="0029403D" w:rsidRDefault="00696B24" w:rsidP="00877B5F">
            <w:pPr>
              <w:jc w:val="center"/>
              <w:rPr>
                <w:b/>
                <w:sz w:val="22"/>
                <w:szCs w:val="22"/>
              </w:rPr>
            </w:pPr>
            <w:r w:rsidRPr="0029403D">
              <w:rPr>
                <w:b/>
                <w:sz w:val="22"/>
                <w:szCs w:val="22"/>
              </w:rPr>
              <w:t>100%</w:t>
            </w:r>
          </w:p>
        </w:tc>
        <w:tc>
          <w:tcPr>
            <w:tcW w:w="1531" w:type="dxa"/>
            <w:vAlign w:val="center"/>
          </w:tcPr>
          <w:p w:rsidR="00696B24" w:rsidRPr="0029403D" w:rsidRDefault="00696B24" w:rsidP="00E95681">
            <w:pPr>
              <w:jc w:val="center"/>
              <w:rPr>
                <w:b/>
                <w:sz w:val="22"/>
                <w:szCs w:val="22"/>
              </w:rPr>
            </w:pPr>
            <w:r>
              <w:rPr>
                <w:b/>
                <w:sz w:val="22"/>
                <w:szCs w:val="22"/>
              </w:rPr>
              <w:t>-58,1 / -19,7%</w:t>
            </w:r>
          </w:p>
        </w:tc>
        <w:tc>
          <w:tcPr>
            <w:tcW w:w="1531" w:type="dxa"/>
            <w:vAlign w:val="center"/>
          </w:tcPr>
          <w:p w:rsidR="00696B24" w:rsidRPr="0029403D" w:rsidRDefault="00382FF8" w:rsidP="00382FF8">
            <w:pPr>
              <w:jc w:val="center"/>
              <w:rPr>
                <w:b/>
                <w:sz w:val="22"/>
                <w:szCs w:val="22"/>
              </w:rPr>
            </w:pPr>
            <w:r>
              <w:rPr>
                <w:b/>
                <w:sz w:val="22"/>
                <w:szCs w:val="22"/>
              </w:rPr>
              <w:t>595,6 / 3,5 раз</w:t>
            </w:r>
          </w:p>
        </w:tc>
      </w:tr>
    </w:tbl>
    <w:p w:rsidR="00382FF8" w:rsidRPr="00F12520" w:rsidRDefault="00382FF8" w:rsidP="00382FF8">
      <w:pPr>
        <w:spacing w:before="120"/>
        <w:ind w:firstLine="567"/>
        <w:jc w:val="both"/>
        <w:rPr>
          <w:bCs/>
          <w:iCs/>
        </w:rPr>
      </w:pPr>
      <w:r>
        <w:rPr>
          <w:bCs/>
          <w:iCs/>
        </w:rPr>
        <w:t>Увеличение поступлений налоговых доходов</w:t>
      </w:r>
      <w:r w:rsidRPr="000B6B29">
        <w:rPr>
          <w:bCs/>
          <w:iCs/>
        </w:rPr>
        <w:t xml:space="preserve"> по отношению к </w:t>
      </w:r>
      <w:r>
        <w:rPr>
          <w:bCs/>
          <w:iCs/>
        </w:rPr>
        <w:t>2014</w:t>
      </w:r>
      <w:r w:rsidRPr="000B6B29">
        <w:rPr>
          <w:bCs/>
          <w:iCs/>
        </w:rPr>
        <w:t xml:space="preserve"> году</w:t>
      </w:r>
      <w:r>
        <w:rPr>
          <w:bCs/>
          <w:iCs/>
        </w:rPr>
        <w:t xml:space="preserve"> связано с включением в состав налоговых доходов акцизов </w:t>
      </w:r>
      <w:r w:rsidRPr="004F03A8">
        <w:rPr>
          <w:bCs/>
          <w:iCs/>
        </w:rPr>
        <w:t>по подакцизным товарам</w:t>
      </w:r>
      <w:r w:rsidRPr="000B6B29">
        <w:rPr>
          <w:bCs/>
          <w:iCs/>
        </w:rPr>
        <w:t>.</w:t>
      </w:r>
    </w:p>
    <w:p w:rsidR="0033234C" w:rsidRPr="00F12520" w:rsidRDefault="00382FF8" w:rsidP="00382FF8">
      <w:pPr>
        <w:spacing w:before="60"/>
        <w:ind w:firstLine="567"/>
        <w:jc w:val="both"/>
        <w:rPr>
          <w:bCs/>
          <w:iCs/>
        </w:rPr>
      </w:pPr>
      <w:r>
        <w:rPr>
          <w:bCs/>
          <w:iCs/>
        </w:rPr>
        <w:t>Согласно</w:t>
      </w:r>
      <w:r w:rsidR="0033234C">
        <w:rPr>
          <w:bCs/>
          <w:iCs/>
        </w:rPr>
        <w:t xml:space="preserve"> пояснительной записке </w:t>
      </w:r>
      <w:r>
        <w:rPr>
          <w:bCs/>
          <w:iCs/>
        </w:rPr>
        <w:t>увеличение</w:t>
      </w:r>
      <w:r w:rsidR="0033234C">
        <w:rPr>
          <w:bCs/>
          <w:iCs/>
        </w:rPr>
        <w:t xml:space="preserve"> поступлений </w:t>
      </w:r>
      <w:r>
        <w:rPr>
          <w:bCs/>
          <w:iCs/>
        </w:rPr>
        <w:t>земельного</w:t>
      </w:r>
      <w:r w:rsidR="0033234C">
        <w:rPr>
          <w:bCs/>
          <w:iCs/>
        </w:rPr>
        <w:t xml:space="preserve"> налога по отн</w:t>
      </w:r>
      <w:r w:rsidR="0033234C">
        <w:rPr>
          <w:bCs/>
          <w:iCs/>
        </w:rPr>
        <w:t>о</w:t>
      </w:r>
      <w:r w:rsidR="0033234C">
        <w:rPr>
          <w:bCs/>
          <w:iCs/>
        </w:rPr>
        <w:t xml:space="preserve">шению к </w:t>
      </w:r>
      <w:r w:rsidR="00E5742F">
        <w:rPr>
          <w:bCs/>
          <w:iCs/>
        </w:rPr>
        <w:t>2014</w:t>
      </w:r>
      <w:r>
        <w:rPr>
          <w:bCs/>
          <w:iCs/>
        </w:rPr>
        <w:t xml:space="preserve"> году связано с погашением задолженности.</w:t>
      </w:r>
    </w:p>
    <w:p w:rsidR="00551F5B" w:rsidRDefault="00551F5B" w:rsidP="00551F5B">
      <w:pPr>
        <w:spacing w:before="12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w:t>
      </w:r>
      <w:r w:rsidR="00F64826" w:rsidRPr="00E56C9E">
        <w:rPr>
          <w:bCs/>
          <w:iCs/>
        </w:rPr>
        <w:t xml:space="preserve">местного бюджета за </w:t>
      </w:r>
      <w:r w:rsidR="00E5742F">
        <w:rPr>
          <w:bCs/>
          <w:iCs/>
        </w:rPr>
        <w:t>2015</w:t>
      </w:r>
      <w:r w:rsidR="00F64826" w:rsidRPr="00E56C9E">
        <w:rPr>
          <w:bCs/>
          <w:iCs/>
        </w:rPr>
        <w:t xml:space="preserve"> год исполнены в объеме </w:t>
      </w:r>
      <w:r w:rsidR="00382FF8">
        <w:rPr>
          <w:bCs/>
          <w:iCs/>
        </w:rPr>
        <w:t>53,0</w:t>
      </w:r>
      <w:r w:rsidR="00F64826" w:rsidRPr="00E56C9E">
        <w:rPr>
          <w:bCs/>
          <w:iCs/>
        </w:rPr>
        <w:t xml:space="preserve"> тыс. руб. или </w:t>
      </w:r>
      <w:r w:rsidR="00382FF8">
        <w:rPr>
          <w:bCs/>
          <w:iCs/>
        </w:rPr>
        <w:t>100,0</w:t>
      </w:r>
      <w:r w:rsidR="00F64826" w:rsidRPr="00E56C9E">
        <w:rPr>
          <w:bCs/>
          <w:iCs/>
        </w:rPr>
        <w:t>% от плановых назначений</w:t>
      </w:r>
      <w:r w:rsidR="00382FF8">
        <w:t>.</w:t>
      </w:r>
    </w:p>
    <w:p w:rsidR="00AD6932" w:rsidRDefault="0033234C" w:rsidP="00382FF8">
      <w:pPr>
        <w:spacing w:before="60"/>
        <w:ind w:firstLine="567"/>
        <w:jc w:val="both"/>
        <w:rPr>
          <w:sz w:val="22"/>
          <w:szCs w:val="22"/>
        </w:rPr>
      </w:pPr>
      <w:r w:rsidRPr="0029403D">
        <w:lastRenderedPageBreak/>
        <w:t xml:space="preserve">Подробный анализ поступления </w:t>
      </w:r>
      <w:r w:rsidR="0059717E">
        <w:t>не</w:t>
      </w:r>
      <w:r w:rsidRPr="0029403D">
        <w:t xml:space="preserve">налоговых доходов представлен в таблице </w:t>
      </w:r>
      <w:r w:rsidR="000D1D55">
        <w:t>2</w:t>
      </w:r>
      <w:r w:rsidRPr="0029403D">
        <w:t>.</w:t>
      </w:r>
    </w:p>
    <w:p w:rsidR="0033234C" w:rsidRPr="000D210C" w:rsidRDefault="0033234C" w:rsidP="0033234C">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680"/>
        <w:gridCol w:w="680"/>
        <w:gridCol w:w="681"/>
        <w:gridCol w:w="794"/>
        <w:gridCol w:w="794"/>
        <w:gridCol w:w="794"/>
        <w:gridCol w:w="1531"/>
        <w:gridCol w:w="1531"/>
      </w:tblGrid>
      <w:tr w:rsidR="0033234C" w:rsidRPr="0029403D" w:rsidTr="00CF32A1">
        <w:trPr>
          <w:trHeight w:val="528"/>
        </w:trPr>
        <w:tc>
          <w:tcPr>
            <w:tcW w:w="2103" w:type="dxa"/>
            <w:vMerge w:val="restart"/>
            <w:vAlign w:val="center"/>
          </w:tcPr>
          <w:p w:rsidR="0033234C" w:rsidRPr="0029403D" w:rsidRDefault="0033234C" w:rsidP="0033234C">
            <w:pPr>
              <w:rPr>
                <w:i/>
                <w:sz w:val="20"/>
                <w:szCs w:val="20"/>
              </w:rPr>
            </w:pPr>
            <w:r w:rsidRPr="0029403D">
              <w:rPr>
                <w:i/>
                <w:sz w:val="20"/>
                <w:szCs w:val="20"/>
              </w:rPr>
              <w:t>Наименования дохода</w:t>
            </w:r>
          </w:p>
        </w:tc>
        <w:tc>
          <w:tcPr>
            <w:tcW w:w="2041" w:type="dxa"/>
            <w:gridSpan w:val="3"/>
            <w:vAlign w:val="center"/>
          </w:tcPr>
          <w:p w:rsidR="00CF32A1" w:rsidRDefault="0033234C" w:rsidP="0033234C">
            <w:pPr>
              <w:jc w:val="center"/>
              <w:rPr>
                <w:i/>
                <w:sz w:val="20"/>
                <w:szCs w:val="20"/>
              </w:rPr>
            </w:pPr>
            <w:r w:rsidRPr="0029403D">
              <w:rPr>
                <w:i/>
                <w:sz w:val="20"/>
                <w:szCs w:val="20"/>
              </w:rPr>
              <w:t xml:space="preserve">Исполнение </w:t>
            </w:r>
          </w:p>
          <w:p w:rsidR="0033234C" w:rsidRPr="0029403D" w:rsidRDefault="0033234C" w:rsidP="0033234C">
            <w:pPr>
              <w:jc w:val="center"/>
              <w:rPr>
                <w:i/>
                <w:sz w:val="20"/>
                <w:szCs w:val="20"/>
              </w:rPr>
            </w:pPr>
            <w:r w:rsidRPr="0029403D">
              <w:rPr>
                <w:i/>
                <w:sz w:val="20"/>
                <w:szCs w:val="20"/>
              </w:rPr>
              <w:t>бюджета</w:t>
            </w:r>
          </w:p>
        </w:tc>
        <w:tc>
          <w:tcPr>
            <w:tcW w:w="2382" w:type="dxa"/>
            <w:gridSpan w:val="3"/>
          </w:tcPr>
          <w:p w:rsidR="0033234C" w:rsidRPr="0029403D" w:rsidRDefault="0033234C" w:rsidP="0033234C">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062" w:type="dxa"/>
            <w:gridSpan w:val="2"/>
            <w:vAlign w:val="center"/>
          </w:tcPr>
          <w:p w:rsidR="0033234C" w:rsidRPr="0029403D" w:rsidRDefault="0033234C" w:rsidP="0033234C">
            <w:pPr>
              <w:jc w:val="center"/>
              <w:rPr>
                <w:i/>
                <w:sz w:val="20"/>
                <w:szCs w:val="20"/>
              </w:rPr>
            </w:pPr>
            <w:r w:rsidRPr="0029403D">
              <w:rPr>
                <w:i/>
                <w:sz w:val="20"/>
                <w:szCs w:val="20"/>
              </w:rPr>
              <w:t>Абсолютный прирост (тыс. руб./проценты)</w:t>
            </w:r>
          </w:p>
        </w:tc>
      </w:tr>
      <w:tr w:rsidR="0033234C" w:rsidRPr="0029403D" w:rsidTr="00F64826">
        <w:trPr>
          <w:trHeight w:val="301"/>
        </w:trPr>
        <w:tc>
          <w:tcPr>
            <w:tcW w:w="2103" w:type="dxa"/>
            <w:vMerge/>
            <w:vAlign w:val="center"/>
          </w:tcPr>
          <w:p w:rsidR="0033234C" w:rsidRPr="0029403D" w:rsidRDefault="0033234C" w:rsidP="0033234C">
            <w:pPr>
              <w:rPr>
                <w:i/>
                <w:sz w:val="20"/>
                <w:szCs w:val="20"/>
              </w:rPr>
            </w:pPr>
          </w:p>
        </w:tc>
        <w:tc>
          <w:tcPr>
            <w:tcW w:w="680" w:type="dxa"/>
            <w:vAlign w:val="center"/>
          </w:tcPr>
          <w:p w:rsidR="0033234C" w:rsidRPr="0029403D" w:rsidRDefault="00E5742F" w:rsidP="0033234C">
            <w:pPr>
              <w:jc w:val="center"/>
              <w:rPr>
                <w:i/>
                <w:sz w:val="20"/>
                <w:szCs w:val="20"/>
              </w:rPr>
            </w:pPr>
            <w:r>
              <w:rPr>
                <w:i/>
                <w:sz w:val="20"/>
                <w:szCs w:val="20"/>
              </w:rPr>
              <w:t>2013</w:t>
            </w:r>
          </w:p>
        </w:tc>
        <w:tc>
          <w:tcPr>
            <w:tcW w:w="680" w:type="dxa"/>
            <w:vAlign w:val="center"/>
          </w:tcPr>
          <w:p w:rsidR="0033234C" w:rsidRPr="0029403D" w:rsidRDefault="00E5742F" w:rsidP="0033234C">
            <w:pPr>
              <w:jc w:val="center"/>
              <w:rPr>
                <w:i/>
                <w:sz w:val="20"/>
                <w:szCs w:val="20"/>
              </w:rPr>
            </w:pPr>
            <w:r>
              <w:rPr>
                <w:i/>
                <w:sz w:val="20"/>
                <w:szCs w:val="20"/>
              </w:rPr>
              <w:t>2014</w:t>
            </w:r>
          </w:p>
        </w:tc>
        <w:tc>
          <w:tcPr>
            <w:tcW w:w="681" w:type="dxa"/>
            <w:vAlign w:val="center"/>
          </w:tcPr>
          <w:p w:rsidR="0033234C" w:rsidRPr="0029403D" w:rsidRDefault="00E5742F" w:rsidP="0033234C">
            <w:pPr>
              <w:jc w:val="center"/>
              <w:rPr>
                <w:i/>
                <w:sz w:val="20"/>
                <w:szCs w:val="20"/>
              </w:rPr>
            </w:pPr>
            <w:r>
              <w:rPr>
                <w:i/>
                <w:sz w:val="20"/>
                <w:szCs w:val="20"/>
              </w:rPr>
              <w:t>2015</w:t>
            </w:r>
          </w:p>
        </w:tc>
        <w:tc>
          <w:tcPr>
            <w:tcW w:w="794" w:type="dxa"/>
            <w:vAlign w:val="center"/>
          </w:tcPr>
          <w:p w:rsidR="0033234C" w:rsidRPr="0029403D" w:rsidRDefault="00E5742F" w:rsidP="0033234C">
            <w:pPr>
              <w:jc w:val="center"/>
              <w:rPr>
                <w:i/>
                <w:sz w:val="20"/>
                <w:szCs w:val="20"/>
              </w:rPr>
            </w:pPr>
            <w:r>
              <w:rPr>
                <w:i/>
                <w:sz w:val="20"/>
                <w:szCs w:val="20"/>
              </w:rPr>
              <w:t>2013</w:t>
            </w:r>
          </w:p>
        </w:tc>
        <w:tc>
          <w:tcPr>
            <w:tcW w:w="794" w:type="dxa"/>
            <w:vAlign w:val="center"/>
          </w:tcPr>
          <w:p w:rsidR="0033234C" w:rsidRPr="0029403D" w:rsidRDefault="00E5742F" w:rsidP="0033234C">
            <w:pPr>
              <w:jc w:val="center"/>
              <w:rPr>
                <w:i/>
                <w:sz w:val="20"/>
                <w:szCs w:val="20"/>
              </w:rPr>
            </w:pPr>
            <w:r>
              <w:rPr>
                <w:i/>
                <w:sz w:val="20"/>
                <w:szCs w:val="20"/>
              </w:rPr>
              <w:t>2014</w:t>
            </w:r>
          </w:p>
        </w:tc>
        <w:tc>
          <w:tcPr>
            <w:tcW w:w="794" w:type="dxa"/>
            <w:vAlign w:val="center"/>
          </w:tcPr>
          <w:p w:rsidR="0033234C" w:rsidRPr="0029403D" w:rsidRDefault="00E5742F" w:rsidP="0033234C">
            <w:pPr>
              <w:jc w:val="center"/>
              <w:rPr>
                <w:i/>
                <w:sz w:val="20"/>
                <w:szCs w:val="20"/>
              </w:rPr>
            </w:pPr>
            <w:r>
              <w:rPr>
                <w:i/>
                <w:sz w:val="20"/>
                <w:szCs w:val="20"/>
              </w:rPr>
              <w:t>2015</w:t>
            </w:r>
          </w:p>
        </w:tc>
        <w:tc>
          <w:tcPr>
            <w:tcW w:w="1531" w:type="dxa"/>
            <w:vAlign w:val="center"/>
          </w:tcPr>
          <w:p w:rsidR="0033234C" w:rsidRPr="0029403D" w:rsidRDefault="00E5742F" w:rsidP="0033234C">
            <w:pPr>
              <w:jc w:val="center"/>
              <w:rPr>
                <w:i/>
                <w:sz w:val="20"/>
                <w:szCs w:val="20"/>
              </w:rPr>
            </w:pPr>
            <w:r>
              <w:rPr>
                <w:i/>
                <w:sz w:val="20"/>
                <w:szCs w:val="20"/>
              </w:rPr>
              <w:t>2014</w:t>
            </w:r>
            <w:r w:rsidR="0033234C">
              <w:rPr>
                <w:i/>
                <w:sz w:val="20"/>
                <w:szCs w:val="20"/>
              </w:rPr>
              <w:t xml:space="preserve"> к </w:t>
            </w:r>
            <w:r>
              <w:rPr>
                <w:i/>
                <w:sz w:val="20"/>
                <w:szCs w:val="20"/>
              </w:rPr>
              <w:t>2013</w:t>
            </w:r>
          </w:p>
        </w:tc>
        <w:tc>
          <w:tcPr>
            <w:tcW w:w="1531" w:type="dxa"/>
            <w:vAlign w:val="center"/>
          </w:tcPr>
          <w:p w:rsidR="0033234C" w:rsidRPr="0029403D" w:rsidRDefault="00E5742F" w:rsidP="0033234C">
            <w:pPr>
              <w:jc w:val="center"/>
              <w:rPr>
                <w:i/>
                <w:sz w:val="20"/>
                <w:szCs w:val="20"/>
              </w:rPr>
            </w:pPr>
            <w:r>
              <w:rPr>
                <w:i/>
                <w:sz w:val="20"/>
                <w:szCs w:val="20"/>
              </w:rPr>
              <w:t>2015</w:t>
            </w:r>
            <w:r w:rsidR="0033234C">
              <w:rPr>
                <w:i/>
                <w:sz w:val="20"/>
                <w:szCs w:val="20"/>
              </w:rPr>
              <w:t xml:space="preserve"> к </w:t>
            </w:r>
            <w:r>
              <w:rPr>
                <w:i/>
                <w:sz w:val="20"/>
                <w:szCs w:val="20"/>
              </w:rPr>
              <w:t>2014</w:t>
            </w:r>
          </w:p>
        </w:tc>
      </w:tr>
      <w:tr w:rsidR="00382FF8" w:rsidRPr="00D452D7" w:rsidTr="00245C4C">
        <w:trPr>
          <w:trHeight w:val="215"/>
        </w:trPr>
        <w:tc>
          <w:tcPr>
            <w:tcW w:w="2103" w:type="dxa"/>
            <w:vAlign w:val="center"/>
          </w:tcPr>
          <w:p w:rsidR="00382FF8" w:rsidRPr="00D452D7" w:rsidRDefault="00382FF8" w:rsidP="00CC33F9">
            <w:pPr>
              <w:spacing w:before="40" w:after="40"/>
              <w:rPr>
                <w:sz w:val="22"/>
                <w:szCs w:val="22"/>
              </w:rPr>
            </w:pPr>
            <w:r>
              <w:rPr>
                <w:sz w:val="22"/>
                <w:szCs w:val="22"/>
              </w:rPr>
              <w:t>Аренда земли</w:t>
            </w:r>
          </w:p>
        </w:tc>
        <w:tc>
          <w:tcPr>
            <w:tcW w:w="680" w:type="dxa"/>
            <w:vAlign w:val="center"/>
          </w:tcPr>
          <w:p w:rsidR="00382FF8" w:rsidRPr="00F12520" w:rsidRDefault="00382FF8" w:rsidP="00CC33F9">
            <w:pPr>
              <w:spacing w:before="40" w:after="40"/>
              <w:jc w:val="center"/>
              <w:rPr>
                <w:sz w:val="22"/>
                <w:szCs w:val="22"/>
              </w:rPr>
            </w:pPr>
            <w:r>
              <w:rPr>
                <w:sz w:val="22"/>
                <w:szCs w:val="22"/>
              </w:rPr>
              <w:t>7,1</w:t>
            </w:r>
          </w:p>
        </w:tc>
        <w:tc>
          <w:tcPr>
            <w:tcW w:w="680" w:type="dxa"/>
            <w:vAlign w:val="center"/>
          </w:tcPr>
          <w:p w:rsidR="00382FF8" w:rsidRPr="00F12520" w:rsidRDefault="00382FF8" w:rsidP="00CC33F9">
            <w:pPr>
              <w:spacing w:before="40" w:after="40"/>
              <w:jc w:val="center"/>
              <w:rPr>
                <w:sz w:val="22"/>
                <w:szCs w:val="22"/>
              </w:rPr>
            </w:pPr>
            <w:r>
              <w:rPr>
                <w:sz w:val="22"/>
                <w:szCs w:val="22"/>
              </w:rPr>
              <w:t>8,0</w:t>
            </w:r>
          </w:p>
        </w:tc>
        <w:tc>
          <w:tcPr>
            <w:tcW w:w="681" w:type="dxa"/>
            <w:vAlign w:val="center"/>
          </w:tcPr>
          <w:p w:rsidR="00382FF8" w:rsidRPr="00F12520" w:rsidRDefault="00382FF8" w:rsidP="00CC33F9">
            <w:pPr>
              <w:spacing w:before="40" w:after="40"/>
              <w:jc w:val="center"/>
              <w:rPr>
                <w:sz w:val="22"/>
                <w:szCs w:val="22"/>
              </w:rPr>
            </w:pPr>
          </w:p>
        </w:tc>
        <w:tc>
          <w:tcPr>
            <w:tcW w:w="794" w:type="dxa"/>
            <w:vAlign w:val="center"/>
          </w:tcPr>
          <w:p w:rsidR="00382FF8" w:rsidRPr="00F12520" w:rsidRDefault="00382FF8" w:rsidP="00CC33F9">
            <w:pPr>
              <w:spacing w:before="40" w:after="40"/>
              <w:jc w:val="center"/>
              <w:rPr>
                <w:sz w:val="22"/>
                <w:szCs w:val="22"/>
              </w:rPr>
            </w:pPr>
            <w:r>
              <w:rPr>
                <w:sz w:val="22"/>
                <w:szCs w:val="22"/>
              </w:rPr>
              <w:t>32,3%</w:t>
            </w:r>
          </w:p>
        </w:tc>
        <w:tc>
          <w:tcPr>
            <w:tcW w:w="794" w:type="dxa"/>
            <w:vAlign w:val="center"/>
          </w:tcPr>
          <w:p w:rsidR="00382FF8" w:rsidRPr="00F12520" w:rsidRDefault="00382FF8" w:rsidP="00CC33F9">
            <w:pPr>
              <w:spacing w:before="40" w:after="40"/>
              <w:jc w:val="center"/>
              <w:rPr>
                <w:sz w:val="22"/>
                <w:szCs w:val="22"/>
              </w:rPr>
            </w:pPr>
            <w:r>
              <w:rPr>
                <w:sz w:val="22"/>
                <w:szCs w:val="22"/>
              </w:rPr>
              <w:t>31,6%</w:t>
            </w:r>
          </w:p>
        </w:tc>
        <w:tc>
          <w:tcPr>
            <w:tcW w:w="794" w:type="dxa"/>
            <w:vAlign w:val="center"/>
          </w:tcPr>
          <w:p w:rsidR="00382FF8" w:rsidRPr="00F12520" w:rsidRDefault="00382FF8" w:rsidP="00CC33F9">
            <w:pPr>
              <w:spacing w:before="40" w:after="40"/>
              <w:jc w:val="center"/>
              <w:rPr>
                <w:sz w:val="22"/>
                <w:szCs w:val="22"/>
              </w:rPr>
            </w:pPr>
          </w:p>
        </w:tc>
        <w:tc>
          <w:tcPr>
            <w:tcW w:w="1531" w:type="dxa"/>
            <w:vAlign w:val="center"/>
          </w:tcPr>
          <w:p w:rsidR="00382FF8" w:rsidRPr="00F12520" w:rsidRDefault="00382FF8" w:rsidP="00CC33F9">
            <w:pPr>
              <w:spacing w:before="40" w:after="40"/>
              <w:jc w:val="center"/>
              <w:rPr>
                <w:sz w:val="22"/>
                <w:szCs w:val="22"/>
              </w:rPr>
            </w:pPr>
            <w:r>
              <w:rPr>
                <w:sz w:val="22"/>
                <w:szCs w:val="22"/>
              </w:rPr>
              <w:t>0,9 / 12,7%</w:t>
            </w:r>
          </w:p>
        </w:tc>
        <w:tc>
          <w:tcPr>
            <w:tcW w:w="1531" w:type="dxa"/>
            <w:vAlign w:val="center"/>
          </w:tcPr>
          <w:p w:rsidR="00382FF8" w:rsidRPr="00F12520" w:rsidRDefault="00382FF8" w:rsidP="00CC33F9">
            <w:pPr>
              <w:spacing w:before="40" w:after="40"/>
              <w:jc w:val="center"/>
              <w:rPr>
                <w:sz w:val="22"/>
                <w:szCs w:val="22"/>
              </w:rPr>
            </w:pPr>
          </w:p>
        </w:tc>
      </w:tr>
      <w:tr w:rsidR="00382FF8" w:rsidRPr="00D452D7" w:rsidTr="00245C4C">
        <w:trPr>
          <w:trHeight w:val="92"/>
        </w:trPr>
        <w:tc>
          <w:tcPr>
            <w:tcW w:w="2103" w:type="dxa"/>
            <w:vAlign w:val="center"/>
          </w:tcPr>
          <w:p w:rsidR="00382FF8" w:rsidRPr="00D452D7" w:rsidRDefault="00382FF8" w:rsidP="00CC33F9">
            <w:pPr>
              <w:spacing w:before="40" w:after="40"/>
              <w:rPr>
                <w:sz w:val="22"/>
                <w:szCs w:val="22"/>
              </w:rPr>
            </w:pPr>
            <w:r>
              <w:rPr>
                <w:sz w:val="22"/>
                <w:szCs w:val="22"/>
              </w:rPr>
              <w:t>Аренда имущества</w:t>
            </w:r>
          </w:p>
        </w:tc>
        <w:tc>
          <w:tcPr>
            <w:tcW w:w="680" w:type="dxa"/>
            <w:vAlign w:val="center"/>
          </w:tcPr>
          <w:p w:rsidR="00382FF8" w:rsidRPr="00F12520" w:rsidRDefault="00382FF8" w:rsidP="00CC33F9">
            <w:pPr>
              <w:spacing w:before="40" w:after="40"/>
              <w:jc w:val="center"/>
              <w:rPr>
                <w:sz w:val="22"/>
                <w:szCs w:val="22"/>
              </w:rPr>
            </w:pPr>
          </w:p>
        </w:tc>
        <w:tc>
          <w:tcPr>
            <w:tcW w:w="680" w:type="dxa"/>
            <w:vAlign w:val="center"/>
          </w:tcPr>
          <w:p w:rsidR="00382FF8" w:rsidRPr="00F12520" w:rsidRDefault="00382FF8" w:rsidP="00CC33F9">
            <w:pPr>
              <w:spacing w:before="40" w:after="40"/>
              <w:jc w:val="center"/>
              <w:rPr>
                <w:sz w:val="22"/>
                <w:szCs w:val="22"/>
              </w:rPr>
            </w:pPr>
          </w:p>
        </w:tc>
        <w:tc>
          <w:tcPr>
            <w:tcW w:w="681" w:type="dxa"/>
            <w:vAlign w:val="center"/>
          </w:tcPr>
          <w:p w:rsidR="00382FF8" w:rsidRPr="00F12520" w:rsidRDefault="00382FF8" w:rsidP="00CC33F9">
            <w:pPr>
              <w:spacing w:before="40" w:after="40"/>
              <w:jc w:val="center"/>
              <w:rPr>
                <w:sz w:val="22"/>
                <w:szCs w:val="22"/>
              </w:rPr>
            </w:pPr>
            <w:r>
              <w:rPr>
                <w:sz w:val="22"/>
                <w:szCs w:val="22"/>
              </w:rPr>
              <w:t>12,0</w:t>
            </w:r>
          </w:p>
        </w:tc>
        <w:tc>
          <w:tcPr>
            <w:tcW w:w="794" w:type="dxa"/>
            <w:vAlign w:val="center"/>
          </w:tcPr>
          <w:p w:rsidR="00382FF8" w:rsidRPr="00F12520" w:rsidRDefault="00382FF8" w:rsidP="00CC33F9">
            <w:pPr>
              <w:spacing w:before="40" w:after="40"/>
              <w:jc w:val="center"/>
              <w:rPr>
                <w:sz w:val="22"/>
                <w:szCs w:val="22"/>
              </w:rPr>
            </w:pPr>
          </w:p>
        </w:tc>
        <w:tc>
          <w:tcPr>
            <w:tcW w:w="794" w:type="dxa"/>
            <w:vAlign w:val="center"/>
          </w:tcPr>
          <w:p w:rsidR="00382FF8" w:rsidRPr="00F12520" w:rsidRDefault="00382FF8" w:rsidP="00CC33F9">
            <w:pPr>
              <w:spacing w:before="40" w:after="40"/>
              <w:jc w:val="center"/>
              <w:rPr>
                <w:sz w:val="22"/>
                <w:szCs w:val="22"/>
              </w:rPr>
            </w:pPr>
          </w:p>
        </w:tc>
        <w:tc>
          <w:tcPr>
            <w:tcW w:w="794" w:type="dxa"/>
            <w:vAlign w:val="center"/>
          </w:tcPr>
          <w:p w:rsidR="00382FF8" w:rsidRPr="00F12520" w:rsidRDefault="00382FF8" w:rsidP="00CC33F9">
            <w:pPr>
              <w:spacing w:before="40" w:after="40"/>
              <w:jc w:val="center"/>
              <w:rPr>
                <w:sz w:val="22"/>
                <w:szCs w:val="22"/>
              </w:rPr>
            </w:pPr>
            <w:r>
              <w:rPr>
                <w:sz w:val="22"/>
                <w:szCs w:val="22"/>
              </w:rPr>
              <w:t>22,6%</w:t>
            </w:r>
          </w:p>
        </w:tc>
        <w:tc>
          <w:tcPr>
            <w:tcW w:w="1531" w:type="dxa"/>
            <w:vAlign w:val="center"/>
          </w:tcPr>
          <w:p w:rsidR="00382FF8" w:rsidRPr="00F12520" w:rsidRDefault="00382FF8" w:rsidP="00CC33F9">
            <w:pPr>
              <w:spacing w:before="40" w:after="40"/>
              <w:jc w:val="center"/>
              <w:rPr>
                <w:sz w:val="22"/>
                <w:szCs w:val="22"/>
              </w:rPr>
            </w:pPr>
          </w:p>
        </w:tc>
        <w:tc>
          <w:tcPr>
            <w:tcW w:w="1531" w:type="dxa"/>
            <w:vAlign w:val="center"/>
          </w:tcPr>
          <w:p w:rsidR="00382FF8" w:rsidRPr="00F12520" w:rsidRDefault="00382FF8" w:rsidP="00CC33F9">
            <w:pPr>
              <w:spacing w:before="40" w:after="40"/>
              <w:jc w:val="center"/>
              <w:rPr>
                <w:sz w:val="22"/>
                <w:szCs w:val="22"/>
              </w:rPr>
            </w:pPr>
          </w:p>
        </w:tc>
      </w:tr>
      <w:tr w:rsidR="00382FF8" w:rsidRPr="00D452D7" w:rsidTr="00F64826">
        <w:tc>
          <w:tcPr>
            <w:tcW w:w="2103" w:type="dxa"/>
          </w:tcPr>
          <w:p w:rsidR="00382FF8" w:rsidRPr="00D452D7" w:rsidRDefault="00382FF8" w:rsidP="00CC33F9">
            <w:pPr>
              <w:spacing w:before="40" w:after="40"/>
              <w:rPr>
                <w:sz w:val="22"/>
                <w:szCs w:val="22"/>
              </w:rPr>
            </w:pPr>
            <w:r>
              <w:rPr>
                <w:sz w:val="22"/>
                <w:szCs w:val="22"/>
              </w:rPr>
              <w:t>Платные услуги</w:t>
            </w:r>
          </w:p>
        </w:tc>
        <w:tc>
          <w:tcPr>
            <w:tcW w:w="680" w:type="dxa"/>
            <w:vAlign w:val="center"/>
          </w:tcPr>
          <w:p w:rsidR="00382FF8" w:rsidRPr="00F12520" w:rsidRDefault="00382FF8" w:rsidP="00CC33F9">
            <w:pPr>
              <w:spacing w:before="40" w:after="40"/>
              <w:jc w:val="center"/>
              <w:rPr>
                <w:sz w:val="22"/>
                <w:szCs w:val="22"/>
              </w:rPr>
            </w:pPr>
            <w:r>
              <w:rPr>
                <w:sz w:val="22"/>
                <w:szCs w:val="22"/>
              </w:rPr>
              <w:t>2,0</w:t>
            </w:r>
          </w:p>
        </w:tc>
        <w:tc>
          <w:tcPr>
            <w:tcW w:w="680" w:type="dxa"/>
            <w:vAlign w:val="center"/>
          </w:tcPr>
          <w:p w:rsidR="00382FF8" w:rsidRPr="00F12520" w:rsidRDefault="00382FF8" w:rsidP="00CC33F9">
            <w:pPr>
              <w:spacing w:before="40" w:after="40"/>
              <w:jc w:val="center"/>
              <w:rPr>
                <w:sz w:val="22"/>
                <w:szCs w:val="22"/>
              </w:rPr>
            </w:pPr>
            <w:r>
              <w:rPr>
                <w:sz w:val="22"/>
                <w:szCs w:val="22"/>
              </w:rPr>
              <w:t>5,4</w:t>
            </w:r>
          </w:p>
        </w:tc>
        <w:tc>
          <w:tcPr>
            <w:tcW w:w="681" w:type="dxa"/>
            <w:vAlign w:val="center"/>
          </w:tcPr>
          <w:p w:rsidR="00382FF8" w:rsidRPr="00F12520" w:rsidRDefault="00382FF8" w:rsidP="00CC33F9">
            <w:pPr>
              <w:spacing w:before="40" w:after="40"/>
              <w:jc w:val="center"/>
              <w:rPr>
                <w:sz w:val="22"/>
                <w:szCs w:val="22"/>
              </w:rPr>
            </w:pPr>
          </w:p>
        </w:tc>
        <w:tc>
          <w:tcPr>
            <w:tcW w:w="794" w:type="dxa"/>
            <w:vAlign w:val="center"/>
          </w:tcPr>
          <w:p w:rsidR="00382FF8" w:rsidRPr="00F12520" w:rsidRDefault="00382FF8" w:rsidP="00CC33F9">
            <w:pPr>
              <w:spacing w:before="40" w:after="40"/>
              <w:jc w:val="center"/>
              <w:rPr>
                <w:sz w:val="22"/>
                <w:szCs w:val="22"/>
              </w:rPr>
            </w:pPr>
            <w:r>
              <w:rPr>
                <w:sz w:val="22"/>
                <w:szCs w:val="22"/>
              </w:rPr>
              <w:t>9,1%</w:t>
            </w:r>
          </w:p>
        </w:tc>
        <w:tc>
          <w:tcPr>
            <w:tcW w:w="794" w:type="dxa"/>
            <w:vAlign w:val="center"/>
          </w:tcPr>
          <w:p w:rsidR="00382FF8" w:rsidRPr="00F12520" w:rsidRDefault="00382FF8" w:rsidP="00CC33F9">
            <w:pPr>
              <w:spacing w:before="40" w:after="40"/>
              <w:jc w:val="center"/>
              <w:rPr>
                <w:sz w:val="22"/>
                <w:szCs w:val="22"/>
              </w:rPr>
            </w:pPr>
            <w:r>
              <w:rPr>
                <w:sz w:val="22"/>
                <w:szCs w:val="22"/>
              </w:rPr>
              <w:t>21,3%</w:t>
            </w:r>
          </w:p>
        </w:tc>
        <w:tc>
          <w:tcPr>
            <w:tcW w:w="794" w:type="dxa"/>
            <w:vAlign w:val="center"/>
          </w:tcPr>
          <w:p w:rsidR="00382FF8" w:rsidRPr="00F12520" w:rsidRDefault="00382FF8" w:rsidP="00CC33F9">
            <w:pPr>
              <w:spacing w:before="40" w:after="40"/>
              <w:jc w:val="center"/>
              <w:rPr>
                <w:sz w:val="22"/>
                <w:szCs w:val="22"/>
              </w:rPr>
            </w:pPr>
          </w:p>
        </w:tc>
        <w:tc>
          <w:tcPr>
            <w:tcW w:w="1531" w:type="dxa"/>
            <w:vAlign w:val="center"/>
          </w:tcPr>
          <w:p w:rsidR="00382FF8" w:rsidRPr="00F12520" w:rsidRDefault="00382FF8" w:rsidP="00CC33F9">
            <w:pPr>
              <w:spacing w:before="40" w:after="40"/>
              <w:jc w:val="center"/>
              <w:rPr>
                <w:sz w:val="22"/>
                <w:szCs w:val="22"/>
              </w:rPr>
            </w:pPr>
            <w:r>
              <w:rPr>
                <w:sz w:val="22"/>
                <w:szCs w:val="22"/>
              </w:rPr>
              <w:t>3,4 / 170,0%</w:t>
            </w:r>
          </w:p>
        </w:tc>
        <w:tc>
          <w:tcPr>
            <w:tcW w:w="1531" w:type="dxa"/>
            <w:vAlign w:val="center"/>
          </w:tcPr>
          <w:p w:rsidR="00382FF8" w:rsidRPr="00F12520" w:rsidRDefault="00382FF8" w:rsidP="00CC33F9">
            <w:pPr>
              <w:spacing w:before="40" w:after="40"/>
              <w:jc w:val="center"/>
              <w:rPr>
                <w:sz w:val="22"/>
                <w:szCs w:val="22"/>
              </w:rPr>
            </w:pPr>
          </w:p>
        </w:tc>
      </w:tr>
      <w:tr w:rsidR="00382FF8" w:rsidRPr="00D452D7" w:rsidTr="00F64826">
        <w:tc>
          <w:tcPr>
            <w:tcW w:w="2103" w:type="dxa"/>
          </w:tcPr>
          <w:p w:rsidR="00382FF8" w:rsidRPr="00D452D7" w:rsidRDefault="00382FF8" w:rsidP="00CC33F9">
            <w:pPr>
              <w:spacing w:before="40" w:after="40"/>
              <w:rPr>
                <w:sz w:val="22"/>
                <w:szCs w:val="22"/>
              </w:rPr>
            </w:pPr>
            <w:r>
              <w:rPr>
                <w:sz w:val="22"/>
                <w:szCs w:val="22"/>
              </w:rPr>
              <w:t>Возмещение затрат</w:t>
            </w:r>
          </w:p>
        </w:tc>
        <w:tc>
          <w:tcPr>
            <w:tcW w:w="680" w:type="dxa"/>
            <w:vAlign w:val="center"/>
          </w:tcPr>
          <w:p w:rsidR="00382FF8" w:rsidRPr="00F12520" w:rsidRDefault="00382FF8" w:rsidP="00CC33F9">
            <w:pPr>
              <w:spacing w:before="40" w:after="40"/>
              <w:jc w:val="center"/>
              <w:rPr>
                <w:sz w:val="22"/>
                <w:szCs w:val="22"/>
              </w:rPr>
            </w:pPr>
            <w:r>
              <w:rPr>
                <w:sz w:val="22"/>
                <w:szCs w:val="22"/>
              </w:rPr>
              <w:t>12,5</w:t>
            </w:r>
          </w:p>
        </w:tc>
        <w:tc>
          <w:tcPr>
            <w:tcW w:w="680" w:type="dxa"/>
            <w:vAlign w:val="center"/>
          </w:tcPr>
          <w:p w:rsidR="00382FF8" w:rsidRPr="00F12520" w:rsidRDefault="00382FF8" w:rsidP="00CC33F9">
            <w:pPr>
              <w:spacing w:before="40" w:after="40"/>
              <w:jc w:val="center"/>
              <w:rPr>
                <w:sz w:val="22"/>
                <w:szCs w:val="22"/>
              </w:rPr>
            </w:pPr>
            <w:r>
              <w:rPr>
                <w:sz w:val="22"/>
                <w:szCs w:val="22"/>
              </w:rPr>
              <w:t>11,9</w:t>
            </w:r>
          </w:p>
        </w:tc>
        <w:tc>
          <w:tcPr>
            <w:tcW w:w="681" w:type="dxa"/>
            <w:vAlign w:val="center"/>
          </w:tcPr>
          <w:p w:rsidR="00382FF8" w:rsidRPr="00F12520" w:rsidRDefault="00382FF8" w:rsidP="00CC33F9">
            <w:pPr>
              <w:spacing w:before="40" w:after="40"/>
              <w:jc w:val="center"/>
              <w:rPr>
                <w:sz w:val="22"/>
                <w:szCs w:val="22"/>
              </w:rPr>
            </w:pPr>
            <w:r>
              <w:rPr>
                <w:sz w:val="22"/>
                <w:szCs w:val="22"/>
              </w:rPr>
              <w:t>3,6</w:t>
            </w:r>
          </w:p>
        </w:tc>
        <w:tc>
          <w:tcPr>
            <w:tcW w:w="794" w:type="dxa"/>
            <w:vAlign w:val="center"/>
          </w:tcPr>
          <w:p w:rsidR="00382FF8" w:rsidRPr="00F12520" w:rsidRDefault="00382FF8" w:rsidP="00CC33F9">
            <w:pPr>
              <w:spacing w:before="40" w:after="40"/>
              <w:jc w:val="center"/>
              <w:rPr>
                <w:sz w:val="22"/>
                <w:szCs w:val="22"/>
              </w:rPr>
            </w:pPr>
            <w:r>
              <w:rPr>
                <w:sz w:val="22"/>
                <w:szCs w:val="22"/>
              </w:rPr>
              <w:t>56,8%</w:t>
            </w:r>
          </w:p>
        </w:tc>
        <w:tc>
          <w:tcPr>
            <w:tcW w:w="794" w:type="dxa"/>
            <w:vAlign w:val="center"/>
          </w:tcPr>
          <w:p w:rsidR="00382FF8" w:rsidRPr="00F12520" w:rsidRDefault="00382FF8" w:rsidP="00CC33F9">
            <w:pPr>
              <w:spacing w:before="40" w:after="40"/>
              <w:jc w:val="center"/>
              <w:rPr>
                <w:sz w:val="22"/>
                <w:szCs w:val="22"/>
              </w:rPr>
            </w:pPr>
            <w:r>
              <w:rPr>
                <w:sz w:val="22"/>
                <w:szCs w:val="22"/>
              </w:rPr>
              <w:t>47,0%</w:t>
            </w:r>
          </w:p>
        </w:tc>
        <w:tc>
          <w:tcPr>
            <w:tcW w:w="794" w:type="dxa"/>
            <w:vAlign w:val="center"/>
          </w:tcPr>
          <w:p w:rsidR="00382FF8" w:rsidRPr="00F12520" w:rsidRDefault="00382FF8" w:rsidP="00CC33F9">
            <w:pPr>
              <w:spacing w:before="40" w:after="40"/>
              <w:jc w:val="center"/>
              <w:rPr>
                <w:sz w:val="22"/>
                <w:szCs w:val="22"/>
              </w:rPr>
            </w:pPr>
            <w:r>
              <w:rPr>
                <w:sz w:val="22"/>
                <w:szCs w:val="22"/>
              </w:rPr>
              <w:t>6,8%</w:t>
            </w:r>
          </w:p>
        </w:tc>
        <w:tc>
          <w:tcPr>
            <w:tcW w:w="1531" w:type="dxa"/>
            <w:vAlign w:val="center"/>
          </w:tcPr>
          <w:p w:rsidR="00382FF8" w:rsidRPr="00F12520" w:rsidRDefault="00382FF8" w:rsidP="00CC33F9">
            <w:pPr>
              <w:spacing w:before="40" w:after="40"/>
              <w:jc w:val="center"/>
              <w:rPr>
                <w:sz w:val="22"/>
                <w:szCs w:val="22"/>
              </w:rPr>
            </w:pPr>
            <w:r>
              <w:rPr>
                <w:sz w:val="22"/>
                <w:szCs w:val="22"/>
              </w:rPr>
              <w:t>-0,6 / -4,8%</w:t>
            </w:r>
          </w:p>
        </w:tc>
        <w:tc>
          <w:tcPr>
            <w:tcW w:w="1531" w:type="dxa"/>
            <w:vAlign w:val="center"/>
          </w:tcPr>
          <w:p w:rsidR="00382FF8" w:rsidRPr="00F12520" w:rsidRDefault="00382FF8" w:rsidP="00CC33F9">
            <w:pPr>
              <w:spacing w:before="40" w:after="40"/>
              <w:jc w:val="center"/>
              <w:rPr>
                <w:sz w:val="22"/>
                <w:szCs w:val="22"/>
              </w:rPr>
            </w:pPr>
            <w:r>
              <w:rPr>
                <w:sz w:val="22"/>
                <w:szCs w:val="22"/>
              </w:rPr>
              <w:t>-8,3 / -69,7%</w:t>
            </w:r>
          </w:p>
        </w:tc>
      </w:tr>
      <w:tr w:rsidR="00382FF8" w:rsidRPr="00D452D7" w:rsidTr="00CC33F9">
        <w:trPr>
          <w:trHeight w:val="70"/>
        </w:trPr>
        <w:tc>
          <w:tcPr>
            <w:tcW w:w="2103" w:type="dxa"/>
          </w:tcPr>
          <w:p w:rsidR="00382FF8" w:rsidRPr="0029403D" w:rsidRDefault="00382FF8" w:rsidP="00CC33F9">
            <w:pPr>
              <w:spacing w:before="40" w:after="40"/>
              <w:jc w:val="both"/>
              <w:rPr>
                <w:sz w:val="22"/>
                <w:szCs w:val="22"/>
              </w:rPr>
            </w:pPr>
            <w:r>
              <w:rPr>
                <w:sz w:val="22"/>
                <w:szCs w:val="22"/>
              </w:rPr>
              <w:t>Штрафы</w:t>
            </w:r>
          </w:p>
        </w:tc>
        <w:tc>
          <w:tcPr>
            <w:tcW w:w="680" w:type="dxa"/>
            <w:vAlign w:val="center"/>
          </w:tcPr>
          <w:p w:rsidR="00382FF8" w:rsidRPr="00F12520" w:rsidRDefault="00382FF8" w:rsidP="00CC33F9">
            <w:pPr>
              <w:spacing w:before="40" w:after="40"/>
              <w:jc w:val="center"/>
              <w:rPr>
                <w:sz w:val="22"/>
                <w:szCs w:val="22"/>
              </w:rPr>
            </w:pPr>
            <w:r>
              <w:rPr>
                <w:sz w:val="22"/>
                <w:szCs w:val="22"/>
              </w:rPr>
              <w:t>0,4</w:t>
            </w:r>
          </w:p>
        </w:tc>
        <w:tc>
          <w:tcPr>
            <w:tcW w:w="680" w:type="dxa"/>
            <w:vAlign w:val="center"/>
          </w:tcPr>
          <w:p w:rsidR="00382FF8" w:rsidRPr="00F12520" w:rsidRDefault="00382FF8" w:rsidP="00CC33F9">
            <w:pPr>
              <w:spacing w:before="40" w:after="40"/>
              <w:jc w:val="center"/>
              <w:rPr>
                <w:sz w:val="22"/>
                <w:szCs w:val="22"/>
              </w:rPr>
            </w:pPr>
          </w:p>
        </w:tc>
        <w:tc>
          <w:tcPr>
            <w:tcW w:w="681" w:type="dxa"/>
            <w:vAlign w:val="center"/>
          </w:tcPr>
          <w:p w:rsidR="00382FF8" w:rsidRPr="00F12520" w:rsidRDefault="00382FF8" w:rsidP="00CC33F9">
            <w:pPr>
              <w:spacing w:before="40" w:after="40"/>
              <w:jc w:val="center"/>
              <w:rPr>
                <w:sz w:val="22"/>
                <w:szCs w:val="22"/>
              </w:rPr>
            </w:pPr>
            <w:r>
              <w:rPr>
                <w:sz w:val="22"/>
                <w:szCs w:val="22"/>
              </w:rPr>
              <w:t>37,4</w:t>
            </w:r>
          </w:p>
        </w:tc>
        <w:tc>
          <w:tcPr>
            <w:tcW w:w="794" w:type="dxa"/>
            <w:vAlign w:val="center"/>
          </w:tcPr>
          <w:p w:rsidR="00382FF8" w:rsidRPr="00F12520" w:rsidRDefault="00382FF8" w:rsidP="00CC33F9">
            <w:pPr>
              <w:spacing w:before="40" w:after="40"/>
              <w:jc w:val="center"/>
              <w:rPr>
                <w:sz w:val="22"/>
                <w:szCs w:val="22"/>
              </w:rPr>
            </w:pPr>
            <w:r>
              <w:rPr>
                <w:sz w:val="22"/>
                <w:szCs w:val="22"/>
              </w:rPr>
              <w:t>1,8%</w:t>
            </w:r>
          </w:p>
        </w:tc>
        <w:tc>
          <w:tcPr>
            <w:tcW w:w="794" w:type="dxa"/>
            <w:vAlign w:val="center"/>
          </w:tcPr>
          <w:p w:rsidR="00382FF8" w:rsidRPr="00F12520" w:rsidRDefault="00382FF8" w:rsidP="00CC33F9">
            <w:pPr>
              <w:spacing w:before="40" w:after="40"/>
              <w:jc w:val="center"/>
              <w:rPr>
                <w:sz w:val="22"/>
                <w:szCs w:val="22"/>
              </w:rPr>
            </w:pPr>
          </w:p>
        </w:tc>
        <w:tc>
          <w:tcPr>
            <w:tcW w:w="794" w:type="dxa"/>
            <w:vAlign w:val="center"/>
          </w:tcPr>
          <w:p w:rsidR="00382FF8" w:rsidRPr="00F12520" w:rsidRDefault="00382FF8" w:rsidP="00CC33F9">
            <w:pPr>
              <w:spacing w:before="40" w:after="40"/>
              <w:jc w:val="center"/>
              <w:rPr>
                <w:sz w:val="22"/>
                <w:szCs w:val="22"/>
              </w:rPr>
            </w:pPr>
            <w:r>
              <w:rPr>
                <w:sz w:val="22"/>
                <w:szCs w:val="22"/>
              </w:rPr>
              <w:t>70,6%</w:t>
            </w:r>
          </w:p>
        </w:tc>
        <w:tc>
          <w:tcPr>
            <w:tcW w:w="1531" w:type="dxa"/>
            <w:vAlign w:val="center"/>
          </w:tcPr>
          <w:p w:rsidR="00382FF8" w:rsidRPr="00F12520" w:rsidRDefault="00382FF8" w:rsidP="00CC33F9">
            <w:pPr>
              <w:spacing w:before="40" w:after="40"/>
              <w:jc w:val="center"/>
              <w:rPr>
                <w:sz w:val="22"/>
                <w:szCs w:val="22"/>
              </w:rPr>
            </w:pPr>
          </w:p>
        </w:tc>
        <w:tc>
          <w:tcPr>
            <w:tcW w:w="1531" w:type="dxa"/>
            <w:vAlign w:val="center"/>
          </w:tcPr>
          <w:p w:rsidR="00382FF8" w:rsidRPr="00F12520" w:rsidRDefault="00382FF8" w:rsidP="00CC33F9">
            <w:pPr>
              <w:spacing w:before="40" w:after="40"/>
              <w:jc w:val="center"/>
              <w:rPr>
                <w:sz w:val="22"/>
                <w:szCs w:val="22"/>
              </w:rPr>
            </w:pPr>
          </w:p>
        </w:tc>
      </w:tr>
      <w:tr w:rsidR="00382FF8" w:rsidRPr="0029403D" w:rsidTr="00F64826">
        <w:tc>
          <w:tcPr>
            <w:tcW w:w="2103" w:type="dxa"/>
          </w:tcPr>
          <w:p w:rsidR="00382FF8" w:rsidRPr="0029403D" w:rsidRDefault="00382FF8" w:rsidP="0033234C">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680" w:type="dxa"/>
            <w:vAlign w:val="center"/>
          </w:tcPr>
          <w:p w:rsidR="00382FF8" w:rsidRPr="00F12520" w:rsidRDefault="00382FF8" w:rsidP="00E95681">
            <w:pPr>
              <w:jc w:val="center"/>
              <w:rPr>
                <w:b/>
                <w:sz w:val="22"/>
                <w:szCs w:val="22"/>
              </w:rPr>
            </w:pPr>
            <w:r>
              <w:rPr>
                <w:b/>
                <w:sz w:val="22"/>
                <w:szCs w:val="22"/>
              </w:rPr>
              <w:t>22,0</w:t>
            </w:r>
          </w:p>
        </w:tc>
        <w:tc>
          <w:tcPr>
            <w:tcW w:w="680" w:type="dxa"/>
            <w:vAlign w:val="center"/>
          </w:tcPr>
          <w:p w:rsidR="00382FF8" w:rsidRPr="00F12520" w:rsidRDefault="00382FF8" w:rsidP="00E95681">
            <w:pPr>
              <w:jc w:val="center"/>
              <w:rPr>
                <w:b/>
                <w:sz w:val="22"/>
                <w:szCs w:val="22"/>
              </w:rPr>
            </w:pPr>
            <w:r>
              <w:rPr>
                <w:b/>
                <w:sz w:val="22"/>
                <w:szCs w:val="22"/>
              </w:rPr>
              <w:t>25,3</w:t>
            </w:r>
          </w:p>
        </w:tc>
        <w:tc>
          <w:tcPr>
            <w:tcW w:w="681" w:type="dxa"/>
            <w:vAlign w:val="center"/>
          </w:tcPr>
          <w:p w:rsidR="00382FF8" w:rsidRPr="00F12520" w:rsidRDefault="00382FF8" w:rsidP="0033234C">
            <w:pPr>
              <w:jc w:val="center"/>
              <w:rPr>
                <w:b/>
                <w:sz w:val="22"/>
                <w:szCs w:val="22"/>
              </w:rPr>
            </w:pPr>
            <w:r>
              <w:rPr>
                <w:b/>
                <w:sz w:val="22"/>
                <w:szCs w:val="22"/>
              </w:rPr>
              <w:t>53,0</w:t>
            </w:r>
          </w:p>
        </w:tc>
        <w:tc>
          <w:tcPr>
            <w:tcW w:w="794" w:type="dxa"/>
            <w:vAlign w:val="center"/>
          </w:tcPr>
          <w:p w:rsidR="00382FF8" w:rsidRPr="00F12520" w:rsidRDefault="00382FF8" w:rsidP="0033234C">
            <w:pPr>
              <w:jc w:val="center"/>
              <w:rPr>
                <w:b/>
                <w:sz w:val="22"/>
                <w:szCs w:val="22"/>
              </w:rPr>
            </w:pPr>
            <w:r w:rsidRPr="00F12520">
              <w:rPr>
                <w:b/>
                <w:sz w:val="22"/>
                <w:szCs w:val="22"/>
              </w:rPr>
              <w:t>100%</w:t>
            </w:r>
          </w:p>
        </w:tc>
        <w:tc>
          <w:tcPr>
            <w:tcW w:w="794" w:type="dxa"/>
            <w:vAlign w:val="center"/>
          </w:tcPr>
          <w:p w:rsidR="00382FF8" w:rsidRPr="00F12520" w:rsidRDefault="00382FF8" w:rsidP="0033234C">
            <w:pPr>
              <w:jc w:val="center"/>
              <w:rPr>
                <w:b/>
                <w:sz w:val="22"/>
                <w:szCs w:val="22"/>
              </w:rPr>
            </w:pPr>
            <w:r w:rsidRPr="00F12520">
              <w:rPr>
                <w:b/>
                <w:sz w:val="22"/>
                <w:szCs w:val="22"/>
              </w:rPr>
              <w:t>100%</w:t>
            </w:r>
          </w:p>
        </w:tc>
        <w:tc>
          <w:tcPr>
            <w:tcW w:w="794" w:type="dxa"/>
            <w:vAlign w:val="center"/>
          </w:tcPr>
          <w:p w:rsidR="00382FF8" w:rsidRPr="00F12520" w:rsidRDefault="00382FF8" w:rsidP="0033234C">
            <w:pPr>
              <w:jc w:val="center"/>
              <w:rPr>
                <w:b/>
                <w:sz w:val="22"/>
                <w:szCs w:val="22"/>
              </w:rPr>
            </w:pPr>
            <w:r w:rsidRPr="00F12520">
              <w:rPr>
                <w:b/>
                <w:sz w:val="22"/>
                <w:szCs w:val="22"/>
              </w:rPr>
              <w:t>100%</w:t>
            </w:r>
          </w:p>
        </w:tc>
        <w:tc>
          <w:tcPr>
            <w:tcW w:w="1531" w:type="dxa"/>
            <w:vAlign w:val="center"/>
          </w:tcPr>
          <w:p w:rsidR="00382FF8" w:rsidRPr="00F12520" w:rsidRDefault="00382FF8" w:rsidP="00E95681">
            <w:pPr>
              <w:jc w:val="center"/>
              <w:rPr>
                <w:b/>
                <w:sz w:val="22"/>
                <w:szCs w:val="22"/>
              </w:rPr>
            </w:pPr>
            <w:r>
              <w:rPr>
                <w:b/>
                <w:sz w:val="22"/>
                <w:szCs w:val="22"/>
              </w:rPr>
              <w:t>3,3 / 15,0%</w:t>
            </w:r>
          </w:p>
        </w:tc>
        <w:tc>
          <w:tcPr>
            <w:tcW w:w="1531" w:type="dxa"/>
            <w:vAlign w:val="center"/>
          </w:tcPr>
          <w:p w:rsidR="00382FF8" w:rsidRPr="00F12520" w:rsidRDefault="00382FF8" w:rsidP="00382FF8">
            <w:pPr>
              <w:jc w:val="center"/>
              <w:rPr>
                <w:b/>
                <w:sz w:val="22"/>
                <w:szCs w:val="22"/>
              </w:rPr>
            </w:pPr>
            <w:r>
              <w:rPr>
                <w:b/>
                <w:sz w:val="22"/>
                <w:szCs w:val="22"/>
              </w:rPr>
              <w:t>27,7 / 109,5%</w:t>
            </w:r>
          </w:p>
        </w:tc>
      </w:tr>
    </w:tbl>
    <w:p w:rsidR="00382FF8" w:rsidRPr="005468EF" w:rsidRDefault="00382FF8" w:rsidP="00382FF8">
      <w:pPr>
        <w:spacing w:before="120"/>
        <w:ind w:firstLine="567"/>
        <w:jc w:val="both"/>
        <w:rPr>
          <w:rFonts w:ascii="Times New Roman CYR" w:hAnsi="Times New Roman CYR" w:cs="Times New Roman CYR"/>
        </w:rPr>
      </w:pPr>
      <w:proofErr w:type="gramStart"/>
      <w:r>
        <w:rPr>
          <w:rFonts w:ascii="Times New Roman CYR" w:hAnsi="Times New Roman CYR" w:cs="Times New Roman CYR"/>
        </w:rPr>
        <w:t>В связи с изменением в БК РФ доходы от аренды за земельные участки</w:t>
      </w:r>
      <w:proofErr w:type="gramEnd"/>
      <w:r>
        <w:rPr>
          <w:rFonts w:ascii="Times New Roman CYR" w:hAnsi="Times New Roman CYR" w:cs="Times New Roman CYR"/>
        </w:rPr>
        <w:t>, расположенные в сельских поселениях, поступают по нормативу 100% в бюджет муниципального района.</w:t>
      </w:r>
    </w:p>
    <w:p w:rsidR="00382FF8" w:rsidRPr="00F12520" w:rsidRDefault="00382FF8" w:rsidP="00382FF8">
      <w:pPr>
        <w:spacing w:before="60"/>
        <w:ind w:firstLine="567"/>
        <w:jc w:val="both"/>
        <w:rPr>
          <w:bCs/>
          <w:iCs/>
        </w:rPr>
      </w:pPr>
      <w:r>
        <w:rPr>
          <w:bCs/>
          <w:iCs/>
        </w:rPr>
        <w:t>Согласно пояснительной записке увеличение поступлений от штрафов по отношению к 2014 году связано с оплатой штрафа за нарушение сроков исполнения муниципального ко</w:t>
      </w:r>
      <w:r>
        <w:rPr>
          <w:bCs/>
          <w:iCs/>
        </w:rPr>
        <w:t>н</w:t>
      </w:r>
      <w:r>
        <w:rPr>
          <w:bCs/>
          <w:iCs/>
        </w:rPr>
        <w:t>тракта.</w:t>
      </w:r>
    </w:p>
    <w:p w:rsidR="009C03FE" w:rsidRPr="0029403D" w:rsidRDefault="005E15EC" w:rsidP="009C03FE">
      <w:pPr>
        <w:spacing w:before="12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F64826" w:rsidRPr="00E56C9E">
        <w:rPr>
          <w:bCs/>
          <w:iCs/>
        </w:rPr>
        <w:t xml:space="preserve">местного бюджета за </w:t>
      </w:r>
      <w:r w:rsidR="00E5742F">
        <w:rPr>
          <w:bCs/>
          <w:iCs/>
        </w:rPr>
        <w:t>2015</w:t>
      </w:r>
      <w:r w:rsidR="00F64826" w:rsidRPr="00E56C9E">
        <w:rPr>
          <w:bCs/>
          <w:iCs/>
        </w:rPr>
        <w:t xml:space="preserve"> год исполнены в объеме </w:t>
      </w:r>
      <w:r w:rsidR="00382FF8">
        <w:rPr>
          <w:bCs/>
          <w:iCs/>
        </w:rPr>
        <w:t>7100,5</w:t>
      </w:r>
      <w:r w:rsidR="00F64826" w:rsidRPr="00E56C9E">
        <w:rPr>
          <w:bCs/>
          <w:iCs/>
        </w:rPr>
        <w:t xml:space="preserve"> тыс. руб. или </w:t>
      </w:r>
      <w:r w:rsidR="00F64826">
        <w:rPr>
          <w:bCs/>
          <w:iCs/>
        </w:rPr>
        <w:t>98,</w:t>
      </w:r>
      <w:r w:rsidR="00382FF8">
        <w:rPr>
          <w:bCs/>
          <w:iCs/>
        </w:rPr>
        <w:t>9</w:t>
      </w:r>
      <w:r w:rsidR="00F64826" w:rsidRPr="00E56C9E">
        <w:rPr>
          <w:bCs/>
          <w:iCs/>
        </w:rPr>
        <w:t>% от плановых назначений</w:t>
      </w:r>
      <w:r w:rsidR="00F64826">
        <w:rPr>
          <w:bCs/>
          <w:iCs/>
        </w:rPr>
        <w:t xml:space="preserve"> </w:t>
      </w:r>
      <w:r w:rsidR="00F64826">
        <w:t xml:space="preserve">(недоисполнение – </w:t>
      </w:r>
      <w:r w:rsidR="00382FF8">
        <w:t>78,5</w:t>
      </w:r>
      <w:r w:rsidR="00F64826">
        <w:t xml:space="preserve"> тыс. руб.).</w:t>
      </w:r>
    </w:p>
    <w:p w:rsidR="005E15EC" w:rsidRPr="0029403D" w:rsidRDefault="005E15EC" w:rsidP="00AD6932">
      <w:pPr>
        <w:spacing w:before="6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975291">
        <w:t>3</w:t>
      </w:r>
      <w:r w:rsidRPr="0029403D">
        <w:t>.</w:t>
      </w:r>
    </w:p>
    <w:p w:rsidR="00877B5F" w:rsidRPr="0029403D" w:rsidRDefault="005E15EC" w:rsidP="006C3351">
      <w:pPr>
        <w:spacing w:before="120" w:after="120"/>
        <w:jc w:val="center"/>
        <w:rPr>
          <w:sz w:val="22"/>
          <w:szCs w:val="22"/>
        </w:rPr>
      </w:pPr>
      <w:r w:rsidRPr="00535CEF">
        <w:rPr>
          <w:sz w:val="22"/>
          <w:szCs w:val="22"/>
        </w:rPr>
        <w:t xml:space="preserve">Таблица </w:t>
      </w:r>
      <w:r w:rsidR="00975291">
        <w:rPr>
          <w:sz w:val="22"/>
          <w:szCs w:val="22"/>
        </w:rPr>
        <w:t>3</w:t>
      </w:r>
      <w:r w:rsidRPr="00535CEF">
        <w:rPr>
          <w:sz w:val="22"/>
          <w:szCs w:val="22"/>
        </w:rPr>
        <w:t xml:space="preserve">. </w:t>
      </w:r>
      <w:r w:rsidR="004E793D" w:rsidRPr="00535CEF">
        <w:rPr>
          <w:sz w:val="22"/>
          <w:szCs w:val="22"/>
        </w:rPr>
        <w:t>С</w:t>
      </w:r>
      <w:r w:rsidRPr="00535CEF">
        <w:rPr>
          <w:sz w:val="22"/>
          <w:szCs w:val="22"/>
        </w:rPr>
        <w:t>труктур</w:t>
      </w:r>
      <w:r w:rsidR="004E793D" w:rsidRPr="00535CEF">
        <w:rPr>
          <w:sz w:val="22"/>
          <w:szCs w:val="22"/>
        </w:rPr>
        <w:t>а</w:t>
      </w:r>
      <w:r w:rsidRPr="00535CEF">
        <w:rPr>
          <w:sz w:val="22"/>
          <w:szCs w:val="22"/>
        </w:rPr>
        <w:t xml:space="preserve"> безвозмездных поступлений местного бюджета, 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850"/>
        <w:gridCol w:w="850"/>
        <w:gridCol w:w="850"/>
        <w:gridCol w:w="794"/>
        <w:gridCol w:w="794"/>
        <w:gridCol w:w="794"/>
        <w:gridCol w:w="1329"/>
        <w:gridCol w:w="1275"/>
      </w:tblGrid>
      <w:tr w:rsidR="000C0B4C" w:rsidRPr="0029403D" w:rsidTr="00557770">
        <w:trPr>
          <w:trHeight w:val="528"/>
        </w:trPr>
        <w:tc>
          <w:tcPr>
            <w:tcW w:w="2211" w:type="dxa"/>
            <w:vMerge w:val="restart"/>
            <w:vAlign w:val="center"/>
          </w:tcPr>
          <w:p w:rsidR="000C0B4C" w:rsidRPr="0029403D" w:rsidRDefault="000C0B4C" w:rsidP="00877B5F">
            <w:pPr>
              <w:rPr>
                <w:i/>
                <w:sz w:val="20"/>
                <w:szCs w:val="20"/>
              </w:rPr>
            </w:pPr>
            <w:r w:rsidRPr="0029403D">
              <w:rPr>
                <w:i/>
                <w:sz w:val="20"/>
                <w:szCs w:val="20"/>
              </w:rPr>
              <w:t>Наименования дохода</w:t>
            </w:r>
          </w:p>
        </w:tc>
        <w:tc>
          <w:tcPr>
            <w:tcW w:w="2550"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6B281F" w:rsidRDefault="000C0B4C" w:rsidP="00877B5F">
            <w:pPr>
              <w:spacing w:before="40"/>
              <w:jc w:val="center"/>
              <w:rPr>
                <w:i/>
                <w:spacing w:val="-4"/>
                <w:sz w:val="20"/>
                <w:szCs w:val="20"/>
              </w:rPr>
            </w:pPr>
            <w:r w:rsidRPr="006B281F">
              <w:rPr>
                <w:i/>
                <w:spacing w:val="-4"/>
                <w:sz w:val="20"/>
                <w:szCs w:val="20"/>
              </w:rPr>
              <w:t>Доля в общем объёме бе</w:t>
            </w:r>
            <w:r w:rsidRPr="006B281F">
              <w:rPr>
                <w:i/>
                <w:spacing w:val="-4"/>
                <w:sz w:val="20"/>
                <w:szCs w:val="20"/>
              </w:rPr>
              <w:t>з</w:t>
            </w:r>
            <w:r w:rsidRPr="006B281F">
              <w:rPr>
                <w:i/>
                <w:spacing w:val="-4"/>
                <w:sz w:val="20"/>
                <w:szCs w:val="20"/>
              </w:rPr>
              <w:t>возмездных поступлений</w:t>
            </w:r>
          </w:p>
        </w:tc>
        <w:tc>
          <w:tcPr>
            <w:tcW w:w="2604" w:type="dxa"/>
            <w:gridSpan w:val="2"/>
            <w:vAlign w:val="center"/>
          </w:tcPr>
          <w:p w:rsidR="000C0B4C" w:rsidRPr="0029403D" w:rsidRDefault="000C0B4C" w:rsidP="0033234C">
            <w:pPr>
              <w:jc w:val="center"/>
              <w:rPr>
                <w:i/>
                <w:sz w:val="20"/>
                <w:szCs w:val="20"/>
              </w:rPr>
            </w:pPr>
            <w:r w:rsidRPr="0029403D">
              <w:rPr>
                <w:i/>
                <w:sz w:val="20"/>
                <w:szCs w:val="20"/>
              </w:rPr>
              <w:t>Абсолютный прирост (тыс. руб./проценты)</w:t>
            </w:r>
          </w:p>
        </w:tc>
      </w:tr>
      <w:tr w:rsidR="000C0B4C" w:rsidRPr="0029403D" w:rsidTr="00AA4105">
        <w:trPr>
          <w:trHeight w:val="319"/>
        </w:trPr>
        <w:tc>
          <w:tcPr>
            <w:tcW w:w="2211" w:type="dxa"/>
            <w:vMerge/>
            <w:vAlign w:val="center"/>
          </w:tcPr>
          <w:p w:rsidR="000C0B4C" w:rsidRPr="0029403D" w:rsidRDefault="000C0B4C" w:rsidP="00877B5F">
            <w:pPr>
              <w:rPr>
                <w:i/>
                <w:sz w:val="20"/>
                <w:szCs w:val="20"/>
              </w:rPr>
            </w:pPr>
          </w:p>
        </w:tc>
        <w:tc>
          <w:tcPr>
            <w:tcW w:w="850" w:type="dxa"/>
            <w:vAlign w:val="center"/>
          </w:tcPr>
          <w:p w:rsidR="000C0B4C" w:rsidRPr="0029403D" w:rsidRDefault="00E5742F" w:rsidP="00AA4105">
            <w:pPr>
              <w:spacing w:before="20" w:after="20"/>
              <w:jc w:val="center"/>
              <w:rPr>
                <w:i/>
                <w:sz w:val="20"/>
                <w:szCs w:val="20"/>
              </w:rPr>
            </w:pPr>
            <w:r>
              <w:rPr>
                <w:i/>
                <w:sz w:val="20"/>
                <w:szCs w:val="20"/>
              </w:rPr>
              <w:t>2013</w:t>
            </w:r>
          </w:p>
        </w:tc>
        <w:tc>
          <w:tcPr>
            <w:tcW w:w="850" w:type="dxa"/>
            <w:vAlign w:val="center"/>
          </w:tcPr>
          <w:p w:rsidR="000C0B4C" w:rsidRPr="0029403D" w:rsidRDefault="00E5742F" w:rsidP="00AA4105">
            <w:pPr>
              <w:spacing w:before="20" w:after="20"/>
              <w:jc w:val="center"/>
              <w:rPr>
                <w:i/>
                <w:sz w:val="20"/>
                <w:szCs w:val="20"/>
              </w:rPr>
            </w:pPr>
            <w:r>
              <w:rPr>
                <w:i/>
                <w:sz w:val="20"/>
                <w:szCs w:val="20"/>
              </w:rPr>
              <w:t>2014</w:t>
            </w:r>
          </w:p>
        </w:tc>
        <w:tc>
          <w:tcPr>
            <w:tcW w:w="850" w:type="dxa"/>
            <w:vAlign w:val="center"/>
          </w:tcPr>
          <w:p w:rsidR="000C0B4C" w:rsidRPr="0029403D" w:rsidRDefault="00E5742F" w:rsidP="00AA4105">
            <w:pPr>
              <w:spacing w:before="20" w:after="20"/>
              <w:jc w:val="center"/>
              <w:rPr>
                <w:i/>
                <w:sz w:val="20"/>
                <w:szCs w:val="20"/>
              </w:rPr>
            </w:pPr>
            <w:r>
              <w:rPr>
                <w:i/>
                <w:sz w:val="20"/>
                <w:szCs w:val="20"/>
              </w:rPr>
              <w:t>2015</w:t>
            </w:r>
          </w:p>
        </w:tc>
        <w:tc>
          <w:tcPr>
            <w:tcW w:w="794" w:type="dxa"/>
            <w:vAlign w:val="center"/>
          </w:tcPr>
          <w:p w:rsidR="000C0B4C" w:rsidRPr="0029403D" w:rsidRDefault="00E5742F" w:rsidP="00AA4105">
            <w:pPr>
              <w:spacing w:before="20" w:after="20"/>
              <w:jc w:val="center"/>
              <w:rPr>
                <w:i/>
                <w:sz w:val="20"/>
                <w:szCs w:val="20"/>
              </w:rPr>
            </w:pPr>
            <w:r>
              <w:rPr>
                <w:i/>
                <w:sz w:val="20"/>
                <w:szCs w:val="20"/>
              </w:rPr>
              <w:t>2013</w:t>
            </w:r>
          </w:p>
        </w:tc>
        <w:tc>
          <w:tcPr>
            <w:tcW w:w="794" w:type="dxa"/>
            <w:vAlign w:val="center"/>
          </w:tcPr>
          <w:p w:rsidR="000C0B4C" w:rsidRPr="0029403D" w:rsidRDefault="00E5742F" w:rsidP="00AA4105">
            <w:pPr>
              <w:spacing w:before="20" w:after="20"/>
              <w:jc w:val="center"/>
              <w:rPr>
                <w:i/>
                <w:sz w:val="20"/>
                <w:szCs w:val="20"/>
              </w:rPr>
            </w:pPr>
            <w:r>
              <w:rPr>
                <w:i/>
                <w:sz w:val="20"/>
                <w:szCs w:val="20"/>
              </w:rPr>
              <w:t>2014</w:t>
            </w:r>
          </w:p>
        </w:tc>
        <w:tc>
          <w:tcPr>
            <w:tcW w:w="794" w:type="dxa"/>
            <w:vAlign w:val="center"/>
          </w:tcPr>
          <w:p w:rsidR="000C0B4C" w:rsidRPr="0029403D" w:rsidRDefault="00E5742F" w:rsidP="00AA4105">
            <w:pPr>
              <w:spacing w:before="20" w:after="20"/>
              <w:jc w:val="center"/>
              <w:rPr>
                <w:i/>
                <w:sz w:val="20"/>
                <w:szCs w:val="20"/>
              </w:rPr>
            </w:pPr>
            <w:r>
              <w:rPr>
                <w:i/>
                <w:sz w:val="20"/>
                <w:szCs w:val="20"/>
              </w:rPr>
              <w:t>2015</w:t>
            </w:r>
          </w:p>
        </w:tc>
        <w:tc>
          <w:tcPr>
            <w:tcW w:w="1329" w:type="dxa"/>
            <w:vAlign w:val="center"/>
          </w:tcPr>
          <w:p w:rsidR="000C0B4C" w:rsidRPr="0029403D" w:rsidRDefault="00E5742F" w:rsidP="00AA4105">
            <w:pPr>
              <w:spacing w:before="20" w:after="20"/>
              <w:jc w:val="center"/>
              <w:rPr>
                <w:i/>
                <w:sz w:val="20"/>
                <w:szCs w:val="20"/>
              </w:rPr>
            </w:pPr>
            <w:r>
              <w:rPr>
                <w:i/>
                <w:sz w:val="20"/>
                <w:szCs w:val="20"/>
              </w:rPr>
              <w:t>2014</w:t>
            </w:r>
            <w:r w:rsidR="0033234C">
              <w:rPr>
                <w:i/>
                <w:sz w:val="20"/>
                <w:szCs w:val="20"/>
              </w:rPr>
              <w:t xml:space="preserve"> к </w:t>
            </w:r>
            <w:r>
              <w:rPr>
                <w:i/>
                <w:sz w:val="20"/>
                <w:szCs w:val="20"/>
              </w:rPr>
              <w:t>2013</w:t>
            </w:r>
          </w:p>
        </w:tc>
        <w:tc>
          <w:tcPr>
            <w:tcW w:w="1275" w:type="dxa"/>
            <w:vAlign w:val="center"/>
          </w:tcPr>
          <w:p w:rsidR="000C0B4C" w:rsidRPr="0029403D" w:rsidRDefault="00E5742F" w:rsidP="00AA4105">
            <w:pPr>
              <w:spacing w:before="20" w:after="20"/>
              <w:jc w:val="center"/>
              <w:rPr>
                <w:i/>
                <w:sz w:val="20"/>
                <w:szCs w:val="20"/>
              </w:rPr>
            </w:pPr>
            <w:r>
              <w:rPr>
                <w:i/>
                <w:sz w:val="20"/>
                <w:szCs w:val="20"/>
              </w:rPr>
              <w:t>2015</w:t>
            </w:r>
            <w:r w:rsidR="0033234C">
              <w:rPr>
                <w:i/>
                <w:sz w:val="20"/>
                <w:szCs w:val="20"/>
              </w:rPr>
              <w:t xml:space="preserve"> к </w:t>
            </w:r>
            <w:r>
              <w:rPr>
                <w:i/>
                <w:sz w:val="20"/>
                <w:szCs w:val="20"/>
              </w:rPr>
              <w:t>2014</w:t>
            </w:r>
          </w:p>
        </w:tc>
      </w:tr>
      <w:tr w:rsidR="00382FF8" w:rsidRPr="0029403D" w:rsidTr="00557770">
        <w:trPr>
          <w:trHeight w:val="283"/>
        </w:trPr>
        <w:tc>
          <w:tcPr>
            <w:tcW w:w="2211" w:type="dxa"/>
          </w:tcPr>
          <w:p w:rsidR="00382FF8" w:rsidRPr="0029403D" w:rsidRDefault="00382FF8" w:rsidP="00CF32A1">
            <w:pPr>
              <w:spacing w:before="120"/>
              <w:rPr>
                <w:sz w:val="22"/>
                <w:szCs w:val="22"/>
              </w:rPr>
            </w:pPr>
            <w:r w:rsidRPr="0029403D">
              <w:rPr>
                <w:sz w:val="22"/>
                <w:szCs w:val="22"/>
              </w:rPr>
              <w:t>Дотации</w:t>
            </w:r>
          </w:p>
        </w:tc>
        <w:tc>
          <w:tcPr>
            <w:tcW w:w="850" w:type="dxa"/>
            <w:vAlign w:val="center"/>
          </w:tcPr>
          <w:p w:rsidR="00382FF8" w:rsidRPr="0029403D" w:rsidRDefault="00382FF8" w:rsidP="00E95681">
            <w:pPr>
              <w:jc w:val="center"/>
              <w:rPr>
                <w:sz w:val="22"/>
                <w:szCs w:val="22"/>
              </w:rPr>
            </w:pPr>
            <w:r>
              <w:rPr>
                <w:sz w:val="22"/>
                <w:szCs w:val="22"/>
              </w:rPr>
              <w:t>4140,8</w:t>
            </w:r>
          </w:p>
        </w:tc>
        <w:tc>
          <w:tcPr>
            <w:tcW w:w="850" w:type="dxa"/>
            <w:vAlign w:val="center"/>
          </w:tcPr>
          <w:p w:rsidR="00382FF8" w:rsidRPr="0029403D" w:rsidRDefault="00382FF8" w:rsidP="00E95681">
            <w:pPr>
              <w:jc w:val="center"/>
              <w:rPr>
                <w:sz w:val="22"/>
                <w:szCs w:val="22"/>
              </w:rPr>
            </w:pPr>
            <w:r>
              <w:rPr>
                <w:sz w:val="22"/>
                <w:szCs w:val="22"/>
              </w:rPr>
              <w:t>5314,5</w:t>
            </w:r>
          </w:p>
        </w:tc>
        <w:tc>
          <w:tcPr>
            <w:tcW w:w="850" w:type="dxa"/>
            <w:vAlign w:val="center"/>
          </w:tcPr>
          <w:p w:rsidR="00382FF8" w:rsidRPr="0029403D" w:rsidRDefault="00382FF8" w:rsidP="00CF32A1">
            <w:pPr>
              <w:jc w:val="center"/>
              <w:rPr>
                <w:sz w:val="22"/>
                <w:szCs w:val="22"/>
              </w:rPr>
            </w:pPr>
            <w:r>
              <w:rPr>
                <w:sz w:val="22"/>
                <w:szCs w:val="22"/>
              </w:rPr>
              <w:t>4474,4</w:t>
            </w:r>
          </w:p>
        </w:tc>
        <w:tc>
          <w:tcPr>
            <w:tcW w:w="794" w:type="dxa"/>
            <w:vAlign w:val="center"/>
          </w:tcPr>
          <w:p w:rsidR="00382FF8" w:rsidRPr="0029403D" w:rsidRDefault="00382FF8" w:rsidP="00E95681">
            <w:pPr>
              <w:jc w:val="center"/>
              <w:rPr>
                <w:sz w:val="22"/>
                <w:szCs w:val="22"/>
              </w:rPr>
            </w:pPr>
            <w:r>
              <w:rPr>
                <w:sz w:val="22"/>
                <w:szCs w:val="22"/>
              </w:rPr>
              <w:t>68,0%</w:t>
            </w:r>
          </w:p>
        </w:tc>
        <w:tc>
          <w:tcPr>
            <w:tcW w:w="794" w:type="dxa"/>
            <w:vAlign w:val="center"/>
          </w:tcPr>
          <w:p w:rsidR="00382FF8" w:rsidRPr="0029403D" w:rsidRDefault="00382FF8" w:rsidP="00E95681">
            <w:pPr>
              <w:jc w:val="center"/>
              <w:rPr>
                <w:sz w:val="22"/>
                <w:szCs w:val="22"/>
              </w:rPr>
            </w:pPr>
            <w:r>
              <w:rPr>
                <w:sz w:val="22"/>
                <w:szCs w:val="22"/>
              </w:rPr>
              <w:t>69,7%</w:t>
            </w:r>
          </w:p>
        </w:tc>
        <w:tc>
          <w:tcPr>
            <w:tcW w:w="794" w:type="dxa"/>
            <w:vAlign w:val="center"/>
          </w:tcPr>
          <w:p w:rsidR="00382FF8" w:rsidRPr="0029403D" w:rsidRDefault="001720D9" w:rsidP="00CF32A1">
            <w:pPr>
              <w:jc w:val="center"/>
              <w:rPr>
                <w:sz w:val="22"/>
                <w:szCs w:val="22"/>
              </w:rPr>
            </w:pPr>
            <w:r>
              <w:rPr>
                <w:sz w:val="22"/>
                <w:szCs w:val="22"/>
              </w:rPr>
              <w:t>63,0%</w:t>
            </w:r>
          </w:p>
        </w:tc>
        <w:tc>
          <w:tcPr>
            <w:tcW w:w="1329" w:type="dxa"/>
            <w:vAlign w:val="center"/>
          </w:tcPr>
          <w:p w:rsidR="00382FF8" w:rsidRPr="0029403D" w:rsidRDefault="00382FF8" w:rsidP="00E95681">
            <w:pPr>
              <w:jc w:val="center"/>
              <w:rPr>
                <w:sz w:val="22"/>
                <w:szCs w:val="22"/>
              </w:rPr>
            </w:pPr>
            <w:r>
              <w:rPr>
                <w:sz w:val="22"/>
                <w:szCs w:val="22"/>
              </w:rPr>
              <w:t>1173,7 / 28,3%</w:t>
            </w:r>
          </w:p>
        </w:tc>
        <w:tc>
          <w:tcPr>
            <w:tcW w:w="1275" w:type="dxa"/>
            <w:vAlign w:val="center"/>
          </w:tcPr>
          <w:p w:rsidR="001720D9" w:rsidRDefault="001720D9" w:rsidP="001720D9">
            <w:pPr>
              <w:jc w:val="center"/>
              <w:rPr>
                <w:sz w:val="22"/>
                <w:szCs w:val="22"/>
              </w:rPr>
            </w:pPr>
            <w:r>
              <w:rPr>
                <w:sz w:val="22"/>
                <w:szCs w:val="22"/>
              </w:rPr>
              <w:t>-840,1</w:t>
            </w:r>
            <w:r w:rsidR="00382FF8">
              <w:rPr>
                <w:sz w:val="22"/>
                <w:szCs w:val="22"/>
              </w:rPr>
              <w:t xml:space="preserve"> / </w:t>
            </w:r>
          </w:p>
          <w:p w:rsidR="00382FF8" w:rsidRPr="0029403D" w:rsidRDefault="001720D9" w:rsidP="001720D9">
            <w:pPr>
              <w:jc w:val="center"/>
              <w:rPr>
                <w:sz w:val="22"/>
                <w:szCs w:val="22"/>
              </w:rPr>
            </w:pPr>
            <w:r>
              <w:rPr>
                <w:sz w:val="22"/>
                <w:szCs w:val="22"/>
              </w:rPr>
              <w:t>-15,8</w:t>
            </w:r>
            <w:r w:rsidR="00382FF8">
              <w:rPr>
                <w:sz w:val="22"/>
                <w:szCs w:val="22"/>
              </w:rPr>
              <w:t>%</w:t>
            </w:r>
          </w:p>
        </w:tc>
      </w:tr>
      <w:tr w:rsidR="00382FF8" w:rsidRPr="0029403D" w:rsidTr="0033234C">
        <w:trPr>
          <w:trHeight w:val="283"/>
        </w:trPr>
        <w:tc>
          <w:tcPr>
            <w:tcW w:w="2211" w:type="dxa"/>
          </w:tcPr>
          <w:p w:rsidR="00382FF8" w:rsidRPr="0029403D" w:rsidRDefault="00382FF8" w:rsidP="00CF32A1">
            <w:pPr>
              <w:spacing w:before="120"/>
              <w:rPr>
                <w:sz w:val="22"/>
                <w:szCs w:val="22"/>
              </w:rPr>
            </w:pPr>
            <w:r w:rsidRPr="0029403D">
              <w:rPr>
                <w:sz w:val="22"/>
                <w:szCs w:val="22"/>
              </w:rPr>
              <w:t>Субсидии</w:t>
            </w:r>
          </w:p>
        </w:tc>
        <w:tc>
          <w:tcPr>
            <w:tcW w:w="850" w:type="dxa"/>
            <w:vAlign w:val="center"/>
          </w:tcPr>
          <w:p w:rsidR="00382FF8" w:rsidRPr="0029403D" w:rsidRDefault="00382FF8" w:rsidP="00E95681">
            <w:pPr>
              <w:jc w:val="center"/>
              <w:rPr>
                <w:sz w:val="22"/>
                <w:szCs w:val="22"/>
              </w:rPr>
            </w:pPr>
            <w:r>
              <w:rPr>
                <w:sz w:val="22"/>
                <w:szCs w:val="22"/>
              </w:rPr>
              <w:t>1487,9</w:t>
            </w:r>
          </w:p>
        </w:tc>
        <w:tc>
          <w:tcPr>
            <w:tcW w:w="850" w:type="dxa"/>
            <w:vAlign w:val="center"/>
          </w:tcPr>
          <w:p w:rsidR="00382FF8" w:rsidRPr="0029403D" w:rsidRDefault="00382FF8" w:rsidP="00E95681">
            <w:pPr>
              <w:jc w:val="center"/>
              <w:rPr>
                <w:sz w:val="22"/>
                <w:szCs w:val="22"/>
              </w:rPr>
            </w:pPr>
            <w:r>
              <w:rPr>
                <w:sz w:val="22"/>
                <w:szCs w:val="22"/>
              </w:rPr>
              <w:t>1233,2</w:t>
            </w:r>
          </w:p>
        </w:tc>
        <w:tc>
          <w:tcPr>
            <w:tcW w:w="850" w:type="dxa"/>
            <w:vAlign w:val="center"/>
          </w:tcPr>
          <w:p w:rsidR="00382FF8" w:rsidRPr="0029403D" w:rsidRDefault="00382FF8" w:rsidP="00CF32A1">
            <w:pPr>
              <w:jc w:val="center"/>
              <w:rPr>
                <w:sz w:val="22"/>
                <w:szCs w:val="22"/>
              </w:rPr>
            </w:pPr>
            <w:r>
              <w:rPr>
                <w:sz w:val="22"/>
                <w:szCs w:val="22"/>
              </w:rPr>
              <w:t>1315,7</w:t>
            </w:r>
          </w:p>
        </w:tc>
        <w:tc>
          <w:tcPr>
            <w:tcW w:w="794" w:type="dxa"/>
            <w:vAlign w:val="center"/>
          </w:tcPr>
          <w:p w:rsidR="00382FF8" w:rsidRPr="0029403D" w:rsidRDefault="00382FF8" w:rsidP="00E95681">
            <w:pPr>
              <w:jc w:val="center"/>
              <w:rPr>
                <w:sz w:val="22"/>
                <w:szCs w:val="22"/>
              </w:rPr>
            </w:pPr>
            <w:r>
              <w:rPr>
                <w:sz w:val="22"/>
                <w:szCs w:val="22"/>
              </w:rPr>
              <w:t>24,4%</w:t>
            </w:r>
          </w:p>
        </w:tc>
        <w:tc>
          <w:tcPr>
            <w:tcW w:w="794" w:type="dxa"/>
            <w:vAlign w:val="center"/>
          </w:tcPr>
          <w:p w:rsidR="00382FF8" w:rsidRPr="0029403D" w:rsidRDefault="00382FF8" w:rsidP="00E95681">
            <w:pPr>
              <w:jc w:val="center"/>
              <w:rPr>
                <w:sz w:val="22"/>
                <w:szCs w:val="22"/>
              </w:rPr>
            </w:pPr>
            <w:r>
              <w:rPr>
                <w:sz w:val="22"/>
                <w:szCs w:val="22"/>
              </w:rPr>
              <w:t>16,2%</w:t>
            </w:r>
          </w:p>
        </w:tc>
        <w:tc>
          <w:tcPr>
            <w:tcW w:w="794" w:type="dxa"/>
            <w:vAlign w:val="center"/>
          </w:tcPr>
          <w:p w:rsidR="00382FF8" w:rsidRPr="0029403D" w:rsidRDefault="001720D9" w:rsidP="00CF32A1">
            <w:pPr>
              <w:jc w:val="center"/>
              <w:rPr>
                <w:sz w:val="22"/>
                <w:szCs w:val="22"/>
              </w:rPr>
            </w:pPr>
            <w:r>
              <w:rPr>
                <w:sz w:val="22"/>
                <w:szCs w:val="22"/>
              </w:rPr>
              <w:t>18,5%</w:t>
            </w:r>
          </w:p>
        </w:tc>
        <w:tc>
          <w:tcPr>
            <w:tcW w:w="1329" w:type="dxa"/>
            <w:vAlign w:val="center"/>
          </w:tcPr>
          <w:p w:rsidR="00382FF8" w:rsidRDefault="00382FF8" w:rsidP="00E95681">
            <w:pPr>
              <w:jc w:val="center"/>
              <w:rPr>
                <w:sz w:val="22"/>
                <w:szCs w:val="22"/>
              </w:rPr>
            </w:pPr>
            <w:r>
              <w:rPr>
                <w:sz w:val="22"/>
                <w:szCs w:val="22"/>
              </w:rPr>
              <w:t xml:space="preserve">-254,7 / </w:t>
            </w:r>
          </w:p>
          <w:p w:rsidR="00382FF8" w:rsidRPr="0029403D" w:rsidRDefault="00382FF8" w:rsidP="00E95681">
            <w:pPr>
              <w:jc w:val="center"/>
              <w:rPr>
                <w:sz w:val="22"/>
                <w:szCs w:val="22"/>
              </w:rPr>
            </w:pPr>
            <w:r>
              <w:rPr>
                <w:sz w:val="22"/>
                <w:szCs w:val="22"/>
              </w:rPr>
              <w:t>-17,1%</w:t>
            </w:r>
          </w:p>
        </w:tc>
        <w:tc>
          <w:tcPr>
            <w:tcW w:w="1275" w:type="dxa"/>
            <w:vAlign w:val="center"/>
          </w:tcPr>
          <w:p w:rsidR="00382FF8" w:rsidRPr="0029403D" w:rsidRDefault="001720D9" w:rsidP="001720D9">
            <w:pPr>
              <w:jc w:val="center"/>
              <w:rPr>
                <w:sz w:val="22"/>
                <w:szCs w:val="22"/>
              </w:rPr>
            </w:pPr>
            <w:r>
              <w:rPr>
                <w:sz w:val="22"/>
                <w:szCs w:val="22"/>
              </w:rPr>
              <w:t>82,5</w:t>
            </w:r>
            <w:r w:rsidR="00382FF8">
              <w:rPr>
                <w:sz w:val="22"/>
                <w:szCs w:val="22"/>
              </w:rPr>
              <w:t xml:space="preserve"> /</w:t>
            </w:r>
            <w:r>
              <w:rPr>
                <w:sz w:val="22"/>
                <w:szCs w:val="22"/>
              </w:rPr>
              <w:t xml:space="preserve"> 6,7</w:t>
            </w:r>
            <w:r w:rsidR="00382FF8">
              <w:rPr>
                <w:sz w:val="22"/>
                <w:szCs w:val="22"/>
              </w:rPr>
              <w:t>%</w:t>
            </w:r>
          </w:p>
        </w:tc>
      </w:tr>
      <w:tr w:rsidR="00382FF8" w:rsidRPr="0029403D" w:rsidTr="00557770">
        <w:trPr>
          <w:trHeight w:val="283"/>
        </w:trPr>
        <w:tc>
          <w:tcPr>
            <w:tcW w:w="2211" w:type="dxa"/>
          </w:tcPr>
          <w:p w:rsidR="00382FF8" w:rsidRPr="0029403D" w:rsidRDefault="00382FF8" w:rsidP="0051709E">
            <w:pPr>
              <w:spacing w:before="60" w:after="60"/>
              <w:rPr>
                <w:sz w:val="22"/>
                <w:szCs w:val="22"/>
              </w:rPr>
            </w:pPr>
            <w:r w:rsidRPr="0029403D">
              <w:rPr>
                <w:sz w:val="22"/>
                <w:szCs w:val="22"/>
              </w:rPr>
              <w:t>Субвенции</w:t>
            </w:r>
          </w:p>
        </w:tc>
        <w:tc>
          <w:tcPr>
            <w:tcW w:w="850" w:type="dxa"/>
            <w:vAlign w:val="center"/>
          </w:tcPr>
          <w:p w:rsidR="00382FF8" w:rsidRPr="0029403D" w:rsidRDefault="00382FF8" w:rsidP="00E95681">
            <w:pPr>
              <w:spacing w:before="60" w:after="60"/>
              <w:jc w:val="center"/>
              <w:rPr>
                <w:sz w:val="22"/>
                <w:szCs w:val="22"/>
              </w:rPr>
            </w:pPr>
            <w:r>
              <w:rPr>
                <w:sz w:val="22"/>
                <w:szCs w:val="22"/>
              </w:rPr>
              <w:t>66,1</w:t>
            </w:r>
          </w:p>
        </w:tc>
        <w:tc>
          <w:tcPr>
            <w:tcW w:w="850" w:type="dxa"/>
            <w:vAlign w:val="center"/>
          </w:tcPr>
          <w:p w:rsidR="00382FF8" w:rsidRPr="0029403D" w:rsidRDefault="00382FF8" w:rsidP="00E95681">
            <w:pPr>
              <w:spacing w:before="60" w:after="60"/>
              <w:jc w:val="center"/>
              <w:rPr>
                <w:sz w:val="22"/>
                <w:szCs w:val="22"/>
              </w:rPr>
            </w:pPr>
            <w:r>
              <w:rPr>
                <w:sz w:val="22"/>
                <w:szCs w:val="22"/>
              </w:rPr>
              <w:t>72,8</w:t>
            </w:r>
          </w:p>
        </w:tc>
        <w:tc>
          <w:tcPr>
            <w:tcW w:w="850" w:type="dxa"/>
            <w:vAlign w:val="center"/>
          </w:tcPr>
          <w:p w:rsidR="00382FF8" w:rsidRPr="0029403D" w:rsidRDefault="00382FF8" w:rsidP="0051709E">
            <w:pPr>
              <w:spacing w:before="60" w:after="60"/>
              <w:jc w:val="center"/>
              <w:rPr>
                <w:sz w:val="22"/>
                <w:szCs w:val="22"/>
              </w:rPr>
            </w:pPr>
            <w:r>
              <w:rPr>
                <w:sz w:val="22"/>
                <w:szCs w:val="22"/>
              </w:rPr>
              <w:t>77,5</w:t>
            </w:r>
          </w:p>
        </w:tc>
        <w:tc>
          <w:tcPr>
            <w:tcW w:w="794" w:type="dxa"/>
            <w:vAlign w:val="center"/>
          </w:tcPr>
          <w:p w:rsidR="00382FF8" w:rsidRPr="0029403D" w:rsidRDefault="00382FF8" w:rsidP="00E95681">
            <w:pPr>
              <w:spacing w:before="60" w:after="60"/>
              <w:jc w:val="center"/>
              <w:rPr>
                <w:sz w:val="22"/>
                <w:szCs w:val="22"/>
              </w:rPr>
            </w:pPr>
            <w:r>
              <w:rPr>
                <w:sz w:val="22"/>
                <w:szCs w:val="22"/>
              </w:rPr>
              <w:t>1,1%</w:t>
            </w:r>
          </w:p>
        </w:tc>
        <w:tc>
          <w:tcPr>
            <w:tcW w:w="794" w:type="dxa"/>
            <w:vAlign w:val="center"/>
          </w:tcPr>
          <w:p w:rsidR="00382FF8" w:rsidRPr="0029403D" w:rsidRDefault="00382FF8" w:rsidP="00E95681">
            <w:pPr>
              <w:spacing w:before="60" w:after="60"/>
              <w:jc w:val="center"/>
              <w:rPr>
                <w:sz w:val="22"/>
                <w:szCs w:val="22"/>
              </w:rPr>
            </w:pPr>
            <w:r>
              <w:rPr>
                <w:sz w:val="22"/>
                <w:szCs w:val="22"/>
              </w:rPr>
              <w:t>1,0%</w:t>
            </w:r>
          </w:p>
        </w:tc>
        <w:tc>
          <w:tcPr>
            <w:tcW w:w="794" w:type="dxa"/>
            <w:vAlign w:val="center"/>
          </w:tcPr>
          <w:p w:rsidR="00382FF8" w:rsidRPr="0029403D" w:rsidRDefault="001720D9" w:rsidP="0051709E">
            <w:pPr>
              <w:spacing w:before="60" w:after="60"/>
              <w:jc w:val="center"/>
              <w:rPr>
                <w:sz w:val="22"/>
                <w:szCs w:val="22"/>
              </w:rPr>
            </w:pPr>
            <w:r>
              <w:rPr>
                <w:sz w:val="22"/>
                <w:szCs w:val="22"/>
              </w:rPr>
              <w:t>1,1%</w:t>
            </w:r>
          </w:p>
        </w:tc>
        <w:tc>
          <w:tcPr>
            <w:tcW w:w="1329" w:type="dxa"/>
            <w:vAlign w:val="center"/>
          </w:tcPr>
          <w:p w:rsidR="00382FF8" w:rsidRPr="0029403D" w:rsidRDefault="00382FF8" w:rsidP="00E95681">
            <w:pPr>
              <w:spacing w:before="60" w:after="60"/>
              <w:jc w:val="center"/>
              <w:rPr>
                <w:sz w:val="22"/>
                <w:szCs w:val="22"/>
              </w:rPr>
            </w:pPr>
            <w:r>
              <w:rPr>
                <w:sz w:val="22"/>
                <w:szCs w:val="22"/>
              </w:rPr>
              <w:t>6,7 / 10,1%</w:t>
            </w:r>
          </w:p>
        </w:tc>
        <w:tc>
          <w:tcPr>
            <w:tcW w:w="1275" w:type="dxa"/>
            <w:vAlign w:val="center"/>
          </w:tcPr>
          <w:p w:rsidR="00382FF8" w:rsidRPr="0029403D" w:rsidRDefault="001720D9" w:rsidP="001720D9">
            <w:pPr>
              <w:spacing w:before="60" w:after="60"/>
              <w:jc w:val="center"/>
              <w:rPr>
                <w:sz w:val="22"/>
                <w:szCs w:val="22"/>
              </w:rPr>
            </w:pPr>
            <w:r>
              <w:rPr>
                <w:sz w:val="22"/>
                <w:szCs w:val="22"/>
              </w:rPr>
              <w:t>4</w:t>
            </w:r>
            <w:r w:rsidR="00382FF8">
              <w:rPr>
                <w:sz w:val="22"/>
                <w:szCs w:val="22"/>
              </w:rPr>
              <w:t xml:space="preserve">,7 / </w:t>
            </w:r>
            <w:r>
              <w:rPr>
                <w:sz w:val="22"/>
                <w:szCs w:val="22"/>
              </w:rPr>
              <w:t>6,5</w:t>
            </w:r>
            <w:r w:rsidR="00382FF8">
              <w:rPr>
                <w:sz w:val="22"/>
                <w:szCs w:val="22"/>
              </w:rPr>
              <w:t>%</w:t>
            </w:r>
          </w:p>
        </w:tc>
      </w:tr>
      <w:tr w:rsidR="00382FF8" w:rsidRPr="0029403D" w:rsidTr="0033234C">
        <w:trPr>
          <w:trHeight w:val="283"/>
        </w:trPr>
        <w:tc>
          <w:tcPr>
            <w:tcW w:w="2211" w:type="dxa"/>
          </w:tcPr>
          <w:p w:rsidR="00382FF8" w:rsidRPr="0029403D" w:rsidRDefault="00382FF8" w:rsidP="00AA4105">
            <w:pPr>
              <w:spacing w:before="120"/>
              <w:rPr>
                <w:sz w:val="22"/>
                <w:szCs w:val="22"/>
              </w:rPr>
            </w:pPr>
            <w:r>
              <w:rPr>
                <w:sz w:val="22"/>
                <w:szCs w:val="22"/>
              </w:rPr>
              <w:t>ИМБТ</w:t>
            </w:r>
          </w:p>
        </w:tc>
        <w:tc>
          <w:tcPr>
            <w:tcW w:w="850" w:type="dxa"/>
            <w:vAlign w:val="center"/>
          </w:tcPr>
          <w:p w:rsidR="00382FF8" w:rsidRPr="0029403D" w:rsidRDefault="00382FF8" w:rsidP="00E95681">
            <w:pPr>
              <w:jc w:val="center"/>
              <w:rPr>
                <w:sz w:val="22"/>
                <w:szCs w:val="22"/>
              </w:rPr>
            </w:pPr>
            <w:r>
              <w:rPr>
                <w:sz w:val="22"/>
                <w:szCs w:val="22"/>
              </w:rPr>
              <w:t>394,5</w:t>
            </w:r>
          </w:p>
        </w:tc>
        <w:tc>
          <w:tcPr>
            <w:tcW w:w="850" w:type="dxa"/>
            <w:vAlign w:val="center"/>
          </w:tcPr>
          <w:p w:rsidR="00382FF8" w:rsidRPr="0029403D" w:rsidRDefault="00382FF8" w:rsidP="00E95681">
            <w:pPr>
              <w:jc w:val="center"/>
              <w:rPr>
                <w:sz w:val="22"/>
                <w:szCs w:val="22"/>
              </w:rPr>
            </w:pPr>
            <w:r>
              <w:rPr>
                <w:sz w:val="22"/>
                <w:szCs w:val="22"/>
              </w:rPr>
              <w:t>1007,3</w:t>
            </w:r>
          </w:p>
        </w:tc>
        <w:tc>
          <w:tcPr>
            <w:tcW w:w="850" w:type="dxa"/>
            <w:vAlign w:val="center"/>
          </w:tcPr>
          <w:p w:rsidR="00382FF8" w:rsidRPr="0029403D" w:rsidRDefault="00382FF8" w:rsidP="00AA4105">
            <w:pPr>
              <w:jc w:val="center"/>
              <w:rPr>
                <w:sz w:val="22"/>
                <w:szCs w:val="22"/>
              </w:rPr>
            </w:pPr>
            <w:r>
              <w:rPr>
                <w:sz w:val="22"/>
                <w:szCs w:val="22"/>
              </w:rPr>
              <w:t>1232,9</w:t>
            </w:r>
          </w:p>
        </w:tc>
        <w:tc>
          <w:tcPr>
            <w:tcW w:w="794" w:type="dxa"/>
            <w:vAlign w:val="center"/>
          </w:tcPr>
          <w:p w:rsidR="00382FF8" w:rsidRPr="0029403D" w:rsidRDefault="00382FF8" w:rsidP="00E95681">
            <w:pPr>
              <w:jc w:val="center"/>
              <w:rPr>
                <w:sz w:val="22"/>
                <w:szCs w:val="22"/>
              </w:rPr>
            </w:pPr>
            <w:r>
              <w:rPr>
                <w:sz w:val="22"/>
                <w:szCs w:val="22"/>
              </w:rPr>
              <w:t>6,5%</w:t>
            </w:r>
          </w:p>
        </w:tc>
        <w:tc>
          <w:tcPr>
            <w:tcW w:w="794" w:type="dxa"/>
            <w:vAlign w:val="center"/>
          </w:tcPr>
          <w:p w:rsidR="00382FF8" w:rsidRPr="0029403D" w:rsidRDefault="00382FF8" w:rsidP="00E95681">
            <w:pPr>
              <w:jc w:val="center"/>
              <w:rPr>
                <w:sz w:val="22"/>
                <w:szCs w:val="22"/>
              </w:rPr>
            </w:pPr>
            <w:r>
              <w:rPr>
                <w:sz w:val="22"/>
                <w:szCs w:val="22"/>
              </w:rPr>
              <w:t>13,2%</w:t>
            </w:r>
          </w:p>
        </w:tc>
        <w:tc>
          <w:tcPr>
            <w:tcW w:w="794" w:type="dxa"/>
            <w:vAlign w:val="center"/>
          </w:tcPr>
          <w:p w:rsidR="00382FF8" w:rsidRPr="0029403D" w:rsidRDefault="001720D9" w:rsidP="00AA4105">
            <w:pPr>
              <w:jc w:val="center"/>
              <w:rPr>
                <w:sz w:val="22"/>
                <w:szCs w:val="22"/>
              </w:rPr>
            </w:pPr>
            <w:r>
              <w:rPr>
                <w:sz w:val="22"/>
                <w:szCs w:val="22"/>
              </w:rPr>
              <w:t>17,4%</w:t>
            </w:r>
          </w:p>
        </w:tc>
        <w:tc>
          <w:tcPr>
            <w:tcW w:w="1329" w:type="dxa"/>
            <w:vAlign w:val="center"/>
          </w:tcPr>
          <w:p w:rsidR="00382FF8" w:rsidRPr="0029403D" w:rsidRDefault="00382FF8" w:rsidP="00E95681">
            <w:pPr>
              <w:jc w:val="center"/>
              <w:rPr>
                <w:sz w:val="22"/>
                <w:szCs w:val="22"/>
              </w:rPr>
            </w:pPr>
            <w:r>
              <w:rPr>
                <w:sz w:val="22"/>
                <w:szCs w:val="22"/>
              </w:rPr>
              <w:t>612,8 / 155,3%</w:t>
            </w:r>
          </w:p>
        </w:tc>
        <w:tc>
          <w:tcPr>
            <w:tcW w:w="1275" w:type="dxa"/>
            <w:vAlign w:val="center"/>
          </w:tcPr>
          <w:p w:rsidR="00382FF8" w:rsidRPr="0029403D" w:rsidRDefault="001720D9" w:rsidP="001720D9">
            <w:pPr>
              <w:jc w:val="center"/>
              <w:rPr>
                <w:sz w:val="22"/>
                <w:szCs w:val="22"/>
              </w:rPr>
            </w:pPr>
            <w:r>
              <w:rPr>
                <w:sz w:val="22"/>
                <w:szCs w:val="22"/>
              </w:rPr>
              <w:t>225,6</w:t>
            </w:r>
            <w:r w:rsidR="00382FF8">
              <w:rPr>
                <w:sz w:val="22"/>
                <w:szCs w:val="22"/>
              </w:rPr>
              <w:t xml:space="preserve"> / </w:t>
            </w:r>
            <w:r>
              <w:rPr>
                <w:sz w:val="22"/>
                <w:szCs w:val="22"/>
              </w:rPr>
              <w:t>22,4</w:t>
            </w:r>
            <w:r w:rsidR="00382FF8">
              <w:rPr>
                <w:sz w:val="22"/>
                <w:szCs w:val="22"/>
              </w:rPr>
              <w:t>%</w:t>
            </w:r>
          </w:p>
        </w:tc>
      </w:tr>
      <w:tr w:rsidR="00382FF8" w:rsidRPr="0029403D" w:rsidTr="00557770">
        <w:tc>
          <w:tcPr>
            <w:tcW w:w="2211" w:type="dxa"/>
          </w:tcPr>
          <w:p w:rsidR="00382FF8" w:rsidRPr="0029403D" w:rsidRDefault="00382FF8" w:rsidP="002E14C6">
            <w:pPr>
              <w:rPr>
                <w:b/>
                <w:sz w:val="22"/>
                <w:szCs w:val="22"/>
              </w:rPr>
            </w:pPr>
            <w:r w:rsidRPr="0029403D">
              <w:rPr>
                <w:b/>
                <w:sz w:val="22"/>
                <w:szCs w:val="22"/>
              </w:rPr>
              <w:t>Итого безвозмез</w:t>
            </w:r>
            <w:r w:rsidRPr="0029403D">
              <w:rPr>
                <w:b/>
                <w:sz w:val="22"/>
                <w:szCs w:val="22"/>
              </w:rPr>
              <w:t>д</w:t>
            </w:r>
            <w:r w:rsidRPr="0029403D">
              <w:rPr>
                <w:b/>
                <w:sz w:val="22"/>
                <w:szCs w:val="22"/>
              </w:rPr>
              <w:t>ных поступлений</w:t>
            </w:r>
          </w:p>
        </w:tc>
        <w:tc>
          <w:tcPr>
            <w:tcW w:w="850" w:type="dxa"/>
            <w:vAlign w:val="center"/>
          </w:tcPr>
          <w:p w:rsidR="00382FF8" w:rsidRPr="0029403D" w:rsidRDefault="00382FF8" w:rsidP="00E95681">
            <w:pPr>
              <w:jc w:val="center"/>
              <w:rPr>
                <w:b/>
                <w:sz w:val="22"/>
                <w:szCs w:val="22"/>
              </w:rPr>
            </w:pPr>
            <w:r>
              <w:rPr>
                <w:b/>
                <w:sz w:val="22"/>
                <w:szCs w:val="22"/>
              </w:rPr>
              <w:t>6089,3</w:t>
            </w:r>
          </w:p>
        </w:tc>
        <w:tc>
          <w:tcPr>
            <w:tcW w:w="850" w:type="dxa"/>
            <w:vAlign w:val="center"/>
          </w:tcPr>
          <w:p w:rsidR="00382FF8" w:rsidRPr="0029403D" w:rsidRDefault="00382FF8" w:rsidP="00E95681">
            <w:pPr>
              <w:jc w:val="center"/>
              <w:rPr>
                <w:b/>
                <w:sz w:val="22"/>
                <w:szCs w:val="22"/>
              </w:rPr>
            </w:pPr>
            <w:r>
              <w:rPr>
                <w:b/>
                <w:sz w:val="22"/>
                <w:szCs w:val="22"/>
              </w:rPr>
              <w:t>7627,8</w:t>
            </w:r>
          </w:p>
        </w:tc>
        <w:tc>
          <w:tcPr>
            <w:tcW w:w="850" w:type="dxa"/>
            <w:vAlign w:val="center"/>
          </w:tcPr>
          <w:p w:rsidR="00382FF8" w:rsidRPr="0029403D" w:rsidRDefault="001720D9" w:rsidP="00877B5F">
            <w:pPr>
              <w:jc w:val="center"/>
              <w:rPr>
                <w:b/>
                <w:sz w:val="22"/>
                <w:szCs w:val="22"/>
              </w:rPr>
            </w:pPr>
            <w:r>
              <w:rPr>
                <w:b/>
                <w:sz w:val="22"/>
                <w:szCs w:val="22"/>
              </w:rPr>
              <w:t>7100,5</w:t>
            </w:r>
          </w:p>
        </w:tc>
        <w:tc>
          <w:tcPr>
            <w:tcW w:w="794" w:type="dxa"/>
            <w:vAlign w:val="center"/>
          </w:tcPr>
          <w:p w:rsidR="00382FF8" w:rsidRPr="0029403D" w:rsidRDefault="00382FF8" w:rsidP="00877B5F">
            <w:pPr>
              <w:jc w:val="center"/>
              <w:rPr>
                <w:b/>
                <w:sz w:val="22"/>
                <w:szCs w:val="22"/>
              </w:rPr>
            </w:pPr>
            <w:r w:rsidRPr="0029403D">
              <w:rPr>
                <w:b/>
                <w:sz w:val="22"/>
                <w:szCs w:val="22"/>
              </w:rPr>
              <w:t>100%</w:t>
            </w:r>
          </w:p>
        </w:tc>
        <w:tc>
          <w:tcPr>
            <w:tcW w:w="794" w:type="dxa"/>
            <w:vAlign w:val="center"/>
          </w:tcPr>
          <w:p w:rsidR="00382FF8" w:rsidRPr="0029403D" w:rsidRDefault="00382FF8" w:rsidP="00877B5F">
            <w:pPr>
              <w:jc w:val="center"/>
              <w:rPr>
                <w:b/>
                <w:sz w:val="22"/>
                <w:szCs w:val="22"/>
              </w:rPr>
            </w:pPr>
            <w:r w:rsidRPr="0029403D">
              <w:rPr>
                <w:b/>
                <w:sz w:val="22"/>
                <w:szCs w:val="22"/>
              </w:rPr>
              <w:t>100%</w:t>
            </w:r>
          </w:p>
        </w:tc>
        <w:tc>
          <w:tcPr>
            <w:tcW w:w="794" w:type="dxa"/>
            <w:vAlign w:val="center"/>
          </w:tcPr>
          <w:p w:rsidR="00382FF8" w:rsidRPr="0029403D" w:rsidRDefault="00382FF8" w:rsidP="00877B5F">
            <w:pPr>
              <w:jc w:val="center"/>
              <w:rPr>
                <w:b/>
                <w:sz w:val="22"/>
                <w:szCs w:val="22"/>
              </w:rPr>
            </w:pPr>
            <w:r w:rsidRPr="0029403D">
              <w:rPr>
                <w:b/>
                <w:sz w:val="22"/>
                <w:szCs w:val="22"/>
              </w:rPr>
              <w:t>100%</w:t>
            </w:r>
          </w:p>
        </w:tc>
        <w:tc>
          <w:tcPr>
            <w:tcW w:w="1329" w:type="dxa"/>
            <w:vAlign w:val="center"/>
          </w:tcPr>
          <w:p w:rsidR="00382FF8" w:rsidRPr="0029403D" w:rsidRDefault="00382FF8" w:rsidP="00E95681">
            <w:pPr>
              <w:jc w:val="center"/>
              <w:rPr>
                <w:b/>
                <w:sz w:val="22"/>
                <w:szCs w:val="22"/>
              </w:rPr>
            </w:pPr>
            <w:r>
              <w:rPr>
                <w:b/>
                <w:sz w:val="22"/>
                <w:szCs w:val="22"/>
              </w:rPr>
              <w:t>1538,5 / 25,3%</w:t>
            </w:r>
          </w:p>
        </w:tc>
        <w:tc>
          <w:tcPr>
            <w:tcW w:w="1275" w:type="dxa"/>
            <w:vAlign w:val="center"/>
          </w:tcPr>
          <w:p w:rsidR="001720D9" w:rsidRDefault="001720D9" w:rsidP="001720D9">
            <w:pPr>
              <w:jc w:val="center"/>
              <w:rPr>
                <w:b/>
                <w:sz w:val="22"/>
                <w:szCs w:val="22"/>
              </w:rPr>
            </w:pPr>
            <w:r>
              <w:rPr>
                <w:b/>
                <w:sz w:val="22"/>
                <w:szCs w:val="22"/>
              </w:rPr>
              <w:t>-527,3</w:t>
            </w:r>
            <w:r w:rsidR="00382FF8">
              <w:rPr>
                <w:b/>
                <w:sz w:val="22"/>
                <w:szCs w:val="22"/>
              </w:rPr>
              <w:t xml:space="preserve"> / </w:t>
            </w:r>
          </w:p>
          <w:p w:rsidR="00382FF8" w:rsidRPr="0029403D" w:rsidRDefault="001720D9" w:rsidP="001720D9">
            <w:pPr>
              <w:jc w:val="center"/>
              <w:rPr>
                <w:b/>
                <w:sz w:val="22"/>
                <w:szCs w:val="22"/>
              </w:rPr>
            </w:pPr>
            <w:r>
              <w:rPr>
                <w:b/>
                <w:sz w:val="22"/>
                <w:szCs w:val="22"/>
              </w:rPr>
              <w:t>-6,9</w:t>
            </w:r>
            <w:r w:rsidR="00382FF8">
              <w:rPr>
                <w:b/>
                <w:sz w:val="22"/>
                <w:szCs w:val="22"/>
              </w:rPr>
              <w:t>%</w:t>
            </w:r>
          </w:p>
        </w:tc>
      </w:tr>
    </w:tbl>
    <w:p w:rsidR="005F6890" w:rsidRPr="0029403D" w:rsidRDefault="006546A7" w:rsidP="009A483A">
      <w:pPr>
        <w:pStyle w:val="1"/>
        <w:spacing w:before="240"/>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1720D9" w:rsidRDefault="001720D9" w:rsidP="001720D9">
      <w:pPr>
        <w:spacing w:before="60"/>
        <w:ind w:firstLine="567"/>
        <w:jc w:val="both"/>
      </w:pPr>
      <w:r w:rsidRPr="004E49FA">
        <w:t xml:space="preserve">Местный бюджет на </w:t>
      </w:r>
      <w:r>
        <w:t>2015</w:t>
      </w:r>
      <w:r w:rsidRPr="004E49FA">
        <w:t xml:space="preserve"> год по </w:t>
      </w:r>
      <w:r>
        <w:t>рас</w:t>
      </w:r>
      <w:r w:rsidRPr="004E49FA">
        <w:t xml:space="preserve">ходам в объёме </w:t>
      </w:r>
      <w:r>
        <w:t>5207,5</w:t>
      </w:r>
      <w:r w:rsidRPr="004E49FA">
        <w:t xml:space="preserve"> тыс. руб. утверждён реш</w:t>
      </w:r>
      <w:r w:rsidRPr="004E49FA">
        <w:t>е</w:t>
      </w:r>
      <w:r w:rsidRPr="004E49FA">
        <w:t>ни</w:t>
      </w:r>
      <w:r>
        <w:t>ем 40</w:t>
      </w:r>
      <w:r w:rsidRPr="004E49FA">
        <w:t xml:space="preserve"> сессии 4 созыва Совета депутатов Форпост-Каргатского сельсовета Каргатского района Новосибирской области от </w:t>
      </w:r>
      <w:r>
        <w:t>17</w:t>
      </w:r>
      <w:r w:rsidRPr="004E49FA">
        <w:t>.12.</w:t>
      </w:r>
      <w:r>
        <w:t>2014</w:t>
      </w:r>
      <w:r w:rsidRPr="004E49FA">
        <w:t xml:space="preserve"> № </w:t>
      </w:r>
      <w:r>
        <w:t>155</w:t>
      </w:r>
      <w:r w:rsidRPr="00816F79">
        <w:t xml:space="preserve">. </w:t>
      </w:r>
    </w:p>
    <w:p w:rsidR="001720D9" w:rsidRPr="001B728A" w:rsidRDefault="001720D9" w:rsidP="001720D9">
      <w:pPr>
        <w:autoSpaceDE w:val="0"/>
        <w:autoSpaceDN w:val="0"/>
        <w:adjustRightInd w:val="0"/>
        <w:spacing w:before="60"/>
        <w:ind w:firstLine="540"/>
        <w:jc w:val="both"/>
        <w:outlineLvl w:val="0"/>
        <w:rPr>
          <w:i/>
          <w:sz w:val="20"/>
          <w:szCs w:val="20"/>
        </w:rPr>
      </w:pPr>
      <w:r w:rsidRPr="00816F79">
        <w:t>Решени</w:t>
      </w:r>
      <w:r>
        <w:t xml:space="preserve">ями </w:t>
      </w:r>
      <w:r w:rsidRPr="00816F79">
        <w:t xml:space="preserve">от </w:t>
      </w:r>
      <w:r>
        <w:t>25.03</w:t>
      </w:r>
      <w:r w:rsidRPr="00816F79">
        <w:t>.</w:t>
      </w:r>
      <w:r>
        <w:t>2015</w:t>
      </w:r>
      <w:r w:rsidRPr="00816F79">
        <w:t xml:space="preserve"> № </w:t>
      </w:r>
      <w:r>
        <w:t xml:space="preserve">163, </w:t>
      </w:r>
      <w:r w:rsidRPr="00816F79">
        <w:t xml:space="preserve">от </w:t>
      </w:r>
      <w:r>
        <w:t>17.06</w:t>
      </w:r>
      <w:r w:rsidRPr="00816F79">
        <w:t>.</w:t>
      </w:r>
      <w:r>
        <w:t>2015</w:t>
      </w:r>
      <w:r w:rsidRPr="00816F79">
        <w:t xml:space="preserve"> № </w:t>
      </w:r>
      <w:r>
        <w:t xml:space="preserve">176, от 17.09.2015 № 182, от 23.11.2015 № 12, от 25.12.2015 № 21 </w:t>
      </w:r>
      <w:r w:rsidRPr="00816F79">
        <w:t>были внесены изменения в плановые назначения по д</w:t>
      </w:r>
      <w:r w:rsidRPr="00816F79">
        <w:t>о</w:t>
      </w:r>
      <w:r w:rsidRPr="00816F79">
        <w:t xml:space="preserve">ходам. </w:t>
      </w:r>
      <w:r w:rsidRPr="00AF4B49">
        <w:t xml:space="preserve">По итогам </w:t>
      </w:r>
      <w:r>
        <w:t xml:space="preserve">всех </w:t>
      </w:r>
      <w:r w:rsidRPr="00AF4B49">
        <w:t>внесённых изменений уточнённый объём доходов</w:t>
      </w:r>
      <w:r>
        <w:t xml:space="preserve"> составляет 8063,7 тыс. руб. </w:t>
      </w:r>
      <w:r w:rsidRPr="0029403D">
        <w:t xml:space="preserve">В отчёте об исполнении местного бюджета за </w:t>
      </w:r>
      <w:r>
        <w:t>2015</w:t>
      </w:r>
      <w:r w:rsidRPr="0029403D">
        <w:t xml:space="preserve"> год плановый показатель по д</w:t>
      </w:r>
      <w:r w:rsidRPr="0029403D">
        <w:t>о</w:t>
      </w:r>
      <w:r w:rsidRPr="0029403D">
        <w:t xml:space="preserve">ходам составляет </w:t>
      </w:r>
      <w:r>
        <w:t xml:space="preserve">8063,7 </w:t>
      </w:r>
      <w:r w:rsidRPr="0029403D">
        <w:t xml:space="preserve">тыс. руб. </w:t>
      </w:r>
      <w:r w:rsidRPr="007C6063">
        <w:t>Тем самым</w:t>
      </w:r>
      <w:r>
        <w:t xml:space="preserve"> выполняется</w:t>
      </w:r>
      <w:r w:rsidRPr="007C6063">
        <w:t xml:space="preserve"> статья 32 БК РФ</w:t>
      </w:r>
      <w:r>
        <w:t>.</w:t>
      </w:r>
    </w:p>
    <w:p w:rsidR="00DB1053" w:rsidRPr="0029403D" w:rsidRDefault="00DB1053" w:rsidP="00AD6932">
      <w:pPr>
        <w:spacing w:before="60"/>
        <w:ind w:firstLine="567"/>
        <w:jc w:val="both"/>
      </w:pPr>
      <w:r w:rsidRPr="0029403D">
        <w:t xml:space="preserve">Исполнение местного бюджета по расходам за </w:t>
      </w:r>
      <w:r w:rsidR="00E5742F">
        <w:t>2015</w:t>
      </w:r>
      <w:r w:rsidRPr="0029403D">
        <w:t xml:space="preserve"> год составило </w:t>
      </w:r>
      <w:r w:rsidR="001720D9">
        <w:t>784</w:t>
      </w:r>
      <w:r w:rsidR="00CE015D">
        <w:t>2,5</w:t>
      </w:r>
      <w:r w:rsidRPr="0029403D">
        <w:t xml:space="preserve"> тыс. </w:t>
      </w:r>
      <w:r w:rsidR="00CA485C" w:rsidRPr="0029403D">
        <w:t>руб.</w:t>
      </w:r>
      <w:r w:rsidRPr="0029403D">
        <w:t xml:space="preserve"> или </w:t>
      </w:r>
      <w:r w:rsidR="00DA3622">
        <w:t>9</w:t>
      </w:r>
      <w:r w:rsidR="00CE015D">
        <w:t>7,</w:t>
      </w:r>
      <w:r w:rsidR="001720D9">
        <w:t>3</w:t>
      </w:r>
      <w:r w:rsidRPr="0029403D">
        <w:t>% к плану</w:t>
      </w:r>
      <w:r w:rsidR="00667AE3">
        <w:t xml:space="preserve"> </w:t>
      </w:r>
      <w:r w:rsidR="00667AE3" w:rsidRPr="0029403D">
        <w:t>(</w:t>
      </w:r>
      <w:r w:rsidR="00D01A8F">
        <w:t>недоисполнение</w:t>
      </w:r>
      <w:r w:rsidR="00667AE3" w:rsidRPr="0029403D">
        <w:t xml:space="preserve"> – </w:t>
      </w:r>
      <w:r w:rsidR="001720D9">
        <w:t>221,2</w:t>
      </w:r>
      <w:r w:rsidR="00667AE3" w:rsidRPr="0029403D">
        <w:t xml:space="preserve"> тыс. руб.)</w:t>
      </w:r>
      <w:r w:rsidRPr="0029403D">
        <w:t>.</w:t>
      </w:r>
    </w:p>
    <w:p w:rsidR="000875CF" w:rsidRDefault="00C62F03" w:rsidP="00AD6932">
      <w:pPr>
        <w:spacing w:before="60"/>
        <w:ind w:firstLine="567"/>
        <w:jc w:val="both"/>
        <w:rPr>
          <w:sz w:val="22"/>
          <w:szCs w:val="22"/>
        </w:rPr>
      </w:pPr>
      <w:r w:rsidRPr="0029403D">
        <w:t xml:space="preserve">Информация о структуре и динамике расходов </w:t>
      </w:r>
      <w:r w:rsidR="00882C08" w:rsidRPr="0029403D">
        <w:t>местного бюджета</w:t>
      </w:r>
      <w:r w:rsidRPr="0029403D">
        <w:t xml:space="preserve"> в </w:t>
      </w:r>
      <w:r w:rsidR="00E5742F">
        <w:t>2013</w:t>
      </w:r>
      <w:r w:rsidR="00D912C8" w:rsidRPr="0029403D">
        <w:t>-</w:t>
      </w:r>
      <w:r w:rsidR="00E5742F">
        <w:t>2015</w:t>
      </w:r>
      <w:r w:rsidR="00D912C8" w:rsidRPr="0029403D">
        <w:t xml:space="preserve"> годах</w:t>
      </w:r>
      <w:r w:rsidRPr="0029403D">
        <w:t xml:space="preserve"> представлена в </w:t>
      </w:r>
      <w:r w:rsidR="00D912C8" w:rsidRPr="0029403D">
        <w:t xml:space="preserve">таблице </w:t>
      </w:r>
      <w:r w:rsidR="00975291">
        <w:t>4</w:t>
      </w:r>
      <w:r w:rsidRPr="0029403D">
        <w:t>.</w:t>
      </w:r>
    </w:p>
    <w:p w:rsidR="001720D9" w:rsidRDefault="001720D9">
      <w:pPr>
        <w:rPr>
          <w:sz w:val="22"/>
          <w:szCs w:val="22"/>
        </w:rPr>
      </w:pPr>
      <w:r>
        <w:rPr>
          <w:sz w:val="22"/>
          <w:szCs w:val="22"/>
        </w:rPr>
        <w:br w:type="page"/>
      </w:r>
    </w:p>
    <w:p w:rsidR="00D912C8" w:rsidRPr="0029403D" w:rsidRDefault="00D912C8" w:rsidP="009242FF">
      <w:pPr>
        <w:spacing w:before="120" w:after="120"/>
        <w:jc w:val="center"/>
        <w:rPr>
          <w:sz w:val="22"/>
          <w:szCs w:val="22"/>
        </w:rPr>
      </w:pPr>
      <w:r w:rsidRPr="0029403D">
        <w:rPr>
          <w:sz w:val="22"/>
          <w:szCs w:val="22"/>
        </w:rPr>
        <w:lastRenderedPageBreak/>
        <w:t xml:space="preserve">Таблица </w:t>
      </w:r>
      <w:r w:rsidR="00975291">
        <w:rPr>
          <w:sz w:val="22"/>
          <w:szCs w:val="22"/>
        </w:rPr>
        <w:t>4</w:t>
      </w:r>
      <w:r w:rsidRPr="0029403D">
        <w:rPr>
          <w:sz w:val="22"/>
          <w:szCs w:val="22"/>
        </w:rPr>
        <w:t>. Анализ структуры расходов местного бюджета,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50"/>
        <w:gridCol w:w="850"/>
        <w:gridCol w:w="850"/>
        <w:gridCol w:w="794"/>
        <w:gridCol w:w="794"/>
        <w:gridCol w:w="794"/>
        <w:gridCol w:w="1191"/>
        <w:gridCol w:w="1191"/>
      </w:tblGrid>
      <w:tr w:rsidR="004B6B0C" w:rsidRPr="0029403D" w:rsidTr="004B6B0C">
        <w:trPr>
          <w:trHeight w:val="250"/>
        </w:trPr>
        <w:tc>
          <w:tcPr>
            <w:tcW w:w="2438" w:type="dxa"/>
            <w:vMerge w:val="restart"/>
          </w:tcPr>
          <w:p w:rsidR="004B6B0C" w:rsidRPr="0029403D" w:rsidRDefault="004B6B0C" w:rsidP="0033234C">
            <w:pPr>
              <w:spacing w:before="120"/>
              <w:jc w:val="center"/>
              <w:rPr>
                <w:i/>
                <w:sz w:val="20"/>
                <w:szCs w:val="20"/>
              </w:rPr>
            </w:pPr>
            <w:r w:rsidRPr="0029403D">
              <w:rPr>
                <w:i/>
                <w:sz w:val="20"/>
                <w:szCs w:val="20"/>
              </w:rPr>
              <w:t>Наименование статей расходов</w:t>
            </w:r>
          </w:p>
        </w:tc>
        <w:tc>
          <w:tcPr>
            <w:tcW w:w="2550"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33234C">
            <w:pPr>
              <w:spacing w:before="120"/>
              <w:jc w:val="center"/>
              <w:rPr>
                <w:i/>
                <w:sz w:val="20"/>
                <w:szCs w:val="20"/>
              </w:rPr>
            </w:pPr>
            <w:r w:rsidRPr="0029403D">
              <w:rPr>
                <w:i/>
                <w:sz w:val="20"/>
                <w:szCs w:val="20"/>
              </w:rPr>
              <w:t>Доля в общих расходах</w:t>
            </w:r>
          </w:p>
        </w:tc>
        <w:tc>
          <w:tcPr>
            <w:tcW w:w="2382" w:type="dxa"/>
            <w:gridSpan w:val="2"/>
            <w:vAlign w:val="center"/>
          </w:tcPr>
          <w:p w:rsidR="004B6B0C" w:rsidRPr="0029403D" w:rsidRDefault="004B6B0C" w:rsidP="0033234C">
            <w:pPr>
              <w:jc w:val="center"/>
              <w:rPr>
                <w:i/>
                <w:sz w:val="20"/>
                <w:szCs w:val="20"/>
              </w:rPr>
            </w:pPr>
            <w:r w:rsidRPr="0029403D">
              <w:rPr>
                <w:i/>
                <w:sz w:val="20"/>
                <w:szCs w:val="20"/>
              </w:rPr>
              <w:t>Абсолютный прирост (тыс. руб./проценты)</w:t>
            </w:r>
          </w:p>
        </w:tc>
      </w:tr>
      <w:tr w:rsidR="004B6B0C" w:rsidRPr="0029403D" w:rsidTr="004B6B0C">
        <w:trPr>
          <w:trHeight w:val="250"/>
        </w:trPr>
        <w:tc>
          <w:tcPr>
            <w:tcW w:w="2438" w:type="dxa"/>
            <w:vMerge/>
          </w:tcPr>
          <w:p w:rsidR="004B6B0C" w:rsidRPr="0029403D" w:rsidRDefault="004B6B0C" w:rsidP="002E14C6">
            <w:pPr>
              <w:jc w:val="center"/>
              <w:rPr>
                <w:i/>
                <w:sz w:val="20"/>
                <w:szCs w:val="20"/>
              </w:rPr>
            </w:pPr>
          </w:p>
        </w:tc>
        <w:tc>
          <w:tcPr>
            <w:tcW w:w="850" w:type="dxa"/>
          </w:tcPr>
          <w:p w:rsidR="004B6B0C" w:rsidRPr="0029403D" w:rsidRDefault="00E5742F" w:rsidP="0033234C">
            <w:pPr>
              <w:spacing w:before="40" w:after="40"/>
              <w:jc w:val="center"/>
              <w:rPr>
                <w:i/>
                <w:sz w:val="20"/>
                <w:szCs w:val="20"/>
              </w:rPr>
            </w:pPr>
            <w:r>
              <w:rPr>
                <w:i/>
                <w:sz w:val="20"/>
                <w:szCs w:val="20"/>
              </w:rPr>
              <w:t>2013</w:t>
            </w:r>
          </w:p>
        </w:tc>
        <w:tc>
          <w:tcPr>
            <w:tcW w:w="850" w:type="dxa"/>
          </w:tcPr>
          <w:p w:rsidR="004B6B0C" w:rsidRPr="0029403D" w:rsidRDefault="00E5742F" w:rsidP="0033234C">
            <w:pPr>
              <w:spacing w:before="40" w:after="40"/>
              <w:jc w:val="center"/>
              <w:rPr>
                <w:i/>
                <w:sz w:val="20"/>
                <w:szCs w:val="20"/>
              </w:rPr>
            </w:pPr>
            <w:r>
              <w:rPr>
                <w:i/>
                <w:sz w:val="20"/>
                <w:szCs w:val="20"/>
              </w:rPr>
              <w:t>2014</w:t>
            </w:r>
          </w:p>
        </w:tc>
        <w:tc>
          <w:tcPr>
            <w:tcW w:w="850" w:type="dxa"/>
          </w:tcPr>
          <w:p w:rsidR="004B6B0C" w:rsidRPr="0029403D" w:rsidRDefault="00E5742F" w:rsidP="0033234C">
            <w:pPr>
              <w:spacing w:before="40" w:after="40"/>
              <w:jc w:val="center"/>
              <w:rPr>
                <w:i/>
                <w:sz w:val="20"/>
                <w:szCs w:val="20"/>
              </w:rPr>
            </w:pPr>
            <w:r>
              <w:rPr>
                <w:i/>
                <w:sz w:val="20"/>
                <w:szCs w:val="20"/>
              </w:rPr>
              <w:t>2015</w:t>
            </w:r>
          </w:p>
        </w:tc>
        <w:tc>
          <w:tcPr>
            <w:tcW w:w="794" w:type="dxa"/>
          </w:tcPr>
          <w:p w:rsidR="004B6B0C" w:rsidRPr="0029403D" w:rsidRDefault="00E5742F" w:rsidP="0033234C">
            <w:pPr>
              <w:spacing w:before="40" w:after="40"/>
              <w:jc w:val="center"/>
              <w:rPr>
                <w:i/>
                <w:sz w:val="20"/>
                <w:szCs w:val="20"/>
              </w:rPr>
            </w:pPr>
            <w:r>
              <w:rPr>
                <w:i/>
                <w:sz w:val="20"/>
                <w:szCs w:val="20"/>
              </w:rPr>
              <w:t>2013</w:t>
            </w:r>
          </w:p>
        </w:tc>
        <w:tc>
          <w:tcPr>
            <w:tcW w:w="794" w:type="dxa"/>
          </w:tcPr>
          <w:p w:rsidR="004B6B0C" w:rsidRPr="0029403D" w:rsidRDefault="00E5742F" w:rsidP="0033234C">
            <w:pPr>
              <w:spacing w:before="40" w:after="40"/>
              <w:jc w:val="center"/>
              <w:rPr>
                <w:i/>
                <w:sz w:val="20"/>
                <w:szCs w:val="20"/>
              </w:rPr>
            </w:pPr>
            <w:r>
              <w:rPr>
                <w:i/>
                <w:sz w:val="20"/>
                <w:szCs w:val="20"/>
              </w:rPr>
              <w:t>2014</w:t>
            </w:r>
          </w:p>
        </w:tc>
        <w:tc>
          <w:tcPr>
            <w:tcW w:w="794" w:type="dxa"/>
          </w:tcPr>
          <w:p w:rsidR="004B6B0C" w:rsidRPr="0029403D" w:rsidRDefault="00E5742F" w:rsidP="0033234C">
            <w:pPr>
              <w:spacing w:before="40" w:after="40"/>
              <w:jc w:val="center"/>
              <w:rPr>
                <w:i/>
                <w:sz w:val="20"/>
                <w:szCs w:val="20"/>
              </w:rPr>
            </w:pPr>
            <w:r>
              <w:rPr>
                <w:i/>
                <w:sz w:val="20"/>
                <w:szCs w:val="20"/>
              </w:rPr>
              <w:t>2015</w:t>
            </w:r>
          </w:p>
        </w:tc>
        <w:tc>
          <w:tcPr>
            <w:tcW w:w="1191" w:type="dxa"/>
          </w:tcPr>
          <w:p w:rsidR="004B6B0C" w:rsidRPr="0033234C" w:rsidRDefault="00E5742F" w:rsidP="0033234C">
            <w:pPr>
              <w:spacing w:before="40" w:after="40"/>
              <w:jc w:val="center"/>
              <w:rPr>
                <w:i/>
                <w:spacing w:val="-2"/>
                <w:sz w:val="20"/>
                <w:szCs w:val="20"/>
              </w:rPr>
            </w:pPr>
            <w:r>
              <w:rPr>
                <w:i/>
                <w:spacing w:val="-2"/>
                <w:sz w:val="20"/>
                <w:szCs w:val="20"/>
              </w:rPr>
              <w:t>2014</w:t>
            </w:r>
            <w:r w:rsidR="0033234C" w:rsidRPr="0033234C">
              <w:rPr>
                <w:i/>
                <w:spacing w:val="-2"/>
                <w:sz w:val="20"/>
                <w:szCs w:val="20"/>
              </w:rPr>
              <w:t xml:space="preserve"> к </w:t>
            </w:r>
            <w:r>
              <w:rPr>
                <w:i/>
                <w:spacing w:val="-2"/>
                <w:sz w:val="20"/>
                <w:szCs w:val="20"/>
              </w:rPr>
              <w:t>2013</w:t>
            </w:r>
          </w:p>
        </w:tc>
        <w:tc>
          <w:tcPr>
            <w:tcW w:w="1191" w:type="dxa"/>
          </w:tcPr>
          <w:p w:rsidR="004B6B0C" w:rsidRPr="0033234C" w:rsidRDefault="00E5742F" w:rsidP="0033234C">
            <w:pPr>
              <w:spacing w:before="40" w:after="40"/>
              <w:jc w:val="center"/>
              <w:rPr>
                <w:i/>
                <w:spacing w:val="-2"/>
                <w:sz w:val="20"/>
                <w:szCs w:val="20"/>
              </w:rPr>
            </w:pPr>
            <w:r>
              <w:rPr>
                <w:i/>
                <w:spacing w:val="-2"/>
                <w:sz w:val="20"/>
                <w:szCs w:val="20"/>
              </w:rPr>
              <w:t>2015</w:t>
            </w:r>
            <w:r w:rsidR="0033234C" w:rsidRPr="0033234C">
              <w:rPr>
                <w:i/>
                <w:spacing w:val="-2"/>
                <w:sz w:val="20"/>
                <w:szCs w:val="20"/>
              </w:rPr>
              <w:t xml:space="preserve"> к </w:t>
            </w:r>
            <w:r>
              <w:rPr>
                <w:i/>
                <w:spacing w:val="-2"/>
                <w:sz w:val="20"/>
                <w:szCs w:val="20"/>
              </w:rPr>
              <w:t>2014</w:t>
            </w:r>
          </w:p>
        </w:tc>
      </w:tr>
      <w:tr w:rsidR="001720D9" w:rsidRPr="0029403D" w:rsidTr="004B6B0C">
        <w:tc>
          <w:tcPr>
            <w:tcW w:w="2438" w:type="dxa"/>
            <w:vAlign w:val="center"/>
          </w:tcPr>
          <w:p w:rsidR="001720D9" w:rsidRPr="0029403D" w:rsidRDefault="001720D9" w:rsidP="002E14C6">
            <w:pPr>
              <w:rPr>
                <w:sz w:val="22"/>
                <w:szCs w:val="22"/>
              </w:rPr>
            </w:pPr>
            <w:r w:rsidRPr="0029403D">
              <w:rPr>
                <w:sz w:val="22"/>
                <w:szCs w:val="22"/>
              </w:rPr>
              <w:t>Общегосударственные вопросы</w:t>
            </w:r>
          </w:p>
        </w:tc>
        <w:tc>
          <w:tcPr>
            <w:tcW w:w="850" w:type="dxa"/>
            <w:vAlign w:val="center"/>
          </w:tcPr>
          <w:p w:rsidR="001720D9" w:rsidRPr="0029403D" w:rsidRDefault="001720D9" w:rsidP="00E95681">
            <w:pPr>
              <w:jc w:val="center"/>
              <w:rPr>
                <w:sz w:val="22"/>
                <w:szCs w:val="22"/>
              </w:rPr>
            </w:pPr>
            <w:r>
              <w:rPr>
                <w:sz w:val="22"/>
                <w:szCs w:val="22"/>
              </w:rPr>
              <w:t>2005,9</w:t>
            </w:r>
          </w:p>
        </w:tc>
        <w:tc>
          <w:tcPr>
            <w:tcW w:w="850" w:type="dxa"/>
            <w:vAlign w:val="center"/>
          </w:tcPr>
          <w:p w:rsidR="001720D9" w:rsidRPr="0029403D" w:rsidRDefault="001720D9" w:rsidP="00E95681">
            <w:pPr>
              <w:jc w:val="center"/>
              <w:rPr>
                <w:sz w:val="22"/>
                <w:szCs w:val="22"/>
              </w:rPr>
            </w:pPr>
            <w:r>
              <w:rPr>
                <w:sz w:val="22"/>
                <w:szCs w:val="22"/>
              </w:rPr>
              <w:t>1898,5</w:t>
            </w:r>
          </w:p>
        </w:tc>
        <w:tc>
          <w:tcPr>
            <w:tcW w:w="850" w:type="dxa"/>
            <w:vAlign w:val="center"/>
          </w:tcPr>
          <w:p w:rsidR="001720D9" w:rsidRPr="0029403D" w:rsidRDefault="001720D9" w:rsidP="00381832">
            <w:pPr>
              <w:jc w:val="center"/>
              <w:rPr>
                <w:sz w:val="22"/>
                <w:szCs w:val="22"/>
              </w:rPr>
            </w:pPr>
            <w:r>
              <w:rPr>
                <w:sz w:val="22"/>
                <w:szCs w:val="22"/>
              </w:rPr>
              <w:t>1846,7</w:t>
            </w:r>
          </w:p>
        </w:tc>
        <w:tc>
          <w:tcPr>
            <w:tcW w:w="794" w:type="dxa"/>
            <w:vAlign w:val="center"/>
          </w:tcPr>
          <w:p w:rsidR="001720D9" w:rsidRPr="0029403D" w:rsidRDefault="001720D9" w:rsidP="00E95681">
            <w:pPr>
              <w:jc w:val="center"/>
              <w:rPr>
                <w:sz w:val="22"/>
                <w:szCs w:val="22"/>
              </w:rPr>
            </w:pPr>
            <w:r>
              <w:rPr>
                <w:sz w:val="22"/>
                <w:szCs w:val="22"/>
              </w:rPr>
              <w:t>31,4%</w:t>
            </w:r>
          </w:p>
        </w:tc>
        <w:tc>
          <w:tcPr>
            <w:tcW w:w="794" w:type="dxa"/>
            <w:vAlign w:val="center"/>
          </w:tcPr>
          <w:p w:rsidR="001720D9" w:rsidRPr="0029403D" w:rsidRDefault="001720D9" w:rsidP="00E95681">
            <w:pPr>
              <w:jc w:val="center"/>
              <w:rPr>
                <w:sz w:val="22"/>
                <w:szCs w:val="22"/>
              </w:rPr>
            </w:pPr>
            <w:r>
              <w:rPr>
                <w:sz w:val="22"/>
                <w:szCs w:val="22"/>
              </w:rPr>
              <w:t>24,1%</w:t>
            </w:r>
          </w:p>
        </w:tc>
        <w:tc>
          <w:tcPr>
            <w:tcW w:w="794" w:type="dxa"/>
            <w:vAlign w:val="center"/>
          </w:tcPr>
          <w:p w:rsidR="001720D9" w:rsidRPr="0029403D" w:rsidRDefault="001720D9" w:rsidP="00CE015D">
            <w:pPr>
              <w:jc w:val="center"/>
              <w:rPr>
                <w:sz w:val="22"/>
                <w:szCs w:val="22"/>
              </w:rPr>
            </w:pPr>
            <w:r>
              <w:rPr>
                <w:sz w:val="22"/>
                <w:szCs w:val="22"/>
              </w:rPr>
              <w:t>23,5%</w:t>
            </w:r>
          </w:p>
        </w:tc>
        <w:tc>
          <w:tcPr>
            <w:tcW w:w="1191" w:type="dxa"/>
            <w:vAlign w:val="center"/>
          </w:tcPr>
          <w:p w:rsidR="001720D9" w:rsidRDefault="001720D9" w:rsidP="00E95681">
            <w:pPr>
              <w:jc w:val="center"/>
              <w:rPr>
                <w:sz w:val="22"/>
                <w:szCs w:val="22"/>
              </w:rPr>
            </w:pPr>
            <w:r>
              <w:rPr>
                <w:sz w:val="22"/>
                <w:szCs w:val="22"/>
              </w:rPr>
              <w:t xml:space="preserve">-107,4 / </w:t>
            </w:r>
          </w:p>
          <w:p w:rsidR="001720D9" w:rsidRPr="0029403D" w:rsidRDefault="001720D9" w:rsidP="00E95681">
            <w:pPr>
              <w:jc w:val="center"/>
              <w:rPr>
                <w:sz w:val="22"/>
                <w:szCs w:val="22"/>
              </w:rPr>
            </w:pPr>
            <w:r>
              <w:rPr>
                <w:sz w:val="22"/>
                <w:szCs w:val="22"/>
              </w:rPr>
              <w:t>-5,4%</w:t>
            </w:r>
          </w:p>
        </w:tc>
        <w:tc>
          <w:tcPr>
            <w:tcW w:w="1191" w:type="dxa"/>
            <w:vAlign w:val="center"/>
          </w:tcPr>
          <w:p w:rsidR="001720D9" w:rsidRDefault="001720D9" w:rsidP="00CB1448">
            <w:pPr>
              <w:jc w:val="center"/>
              <w:rPr>
                <w:sz w:val="22"/>
                <w:szCs w:val="22"/>
              </w:rPr>
            </w:pPr>
            <w:r>
              <w:rPr>
                <w:sz w:val="22"/>
                <w:szCs w:val="22"/>
              </w:rPr>
              <w:t xml:space="preserve">-51,8 / </w:t>
            </w:r>
          </w:p>
          <w:p w:rsidR="001720D9" w:rsidRPr="0029403D" w:rsidRDefault="001720D9" w:rsidP="001720D9">
            <w:pPr>
              <w:jc w:val="center"/>
              <w:rPr>
                <w:sz w:val="22"/>
                <w:szCs w:val="22"/>
              </w:rPr>
            </w:pPr>
            <w:r>
              <w:rPr>
                <w:sz w:val="22"/>
                <w:szCs w:val="22"/>
              </w:rPr>
              <w:t>-2,7%</w:t>
            </w:r>
          </w:p>
        </w:tc>
      </w:tr>
      <w:tr w:rsidR="001720D9" w:rsidRPr="0029403D" w:rsidTr="004B6B0C">
        <w:tc>
          <w:tcPr>
            <w:tcW w:w="2438" w:type="dxa"/>
          </w:tcPr>
          <w:p w:rsidR="001720D9" w:rsidRPr="0029403D" w:rsidRDefault="001720D9" w:rsidP="002E14C6">
            <w:pPr>
              <w:rPr>
                <w:sz w:val="22"/>
                <w:szCs w:val="22"/>
              </w:rPr>
            </w:pPr>
            <w:r w:rsidRPr="0029403D">
              <w:rPr>
                <w:sz w:val="22"/>
                <w:szCs w:val="22"/>
              </w:rPr>
              <w:t>Национальная оборона</w:t>
            </w:r>
          </w:p>
        </w:tc>
        <w:tc>
          <w:tcPr>
            <w:tcW w:w="850" w:type="dxa"/>
            <w:vAlign w:val="center"/>
          </w:tcPr>
          <w:p w:rsidR="001720D9" w:rsidRPr="0029403D" w:rsidRDefault="001720D9" w:rsidP="00E95681">
            <w:pPr>
              <w:jc w:val="center"/>
              <w:rPr>
                <w:sz w:val="22"/>
                <w:szCs w:val="22"/>
              </w:rPr>
            </w:pPr>
            <w:r>
              <w:rPr>
                <w:sz w:val="22"/>
                <w:szCs w:val="22"/>
              </w:rPr>
              <w:t>66,0</w:t>
            </w:r>
          </w:p>
        </w:tc>
        <w:tc>
          <w:tcPr>
            <w:tcW w:w="850" w:type="dxa"/>
            <w:vAlign w:val="center"/>
          </w:tcPr>
          <w:p w:rsidR="001720D9" w:rsidRPr="0029403D" w:rsidRDefault="001720D9" w:rsidP="00E95681">
            <w:pPr>
              <w:jc w:val="center"/>
              <w:rPr>
                <w:sz w:val="22"/>
                <w:szCs w:val="22"/>
              </w:rPr>
            </w:pPr>
            <w:r>
              <w:rPr>
                <w:sz w:val="22"/>
                <w:szCs w:val="22"/>
              </w:rPr>
              <w:t>72,7</w:t>
            </w:r>
          </w:p>
        </w:tc>
        <w:tc>
          <w:tcPr>
            <w:tcW w:w="850" w:type="dxa"/>
            <w:vAlign w:val="center"/>
          </w:tcPr>
          <w:p w:rsidR="001720D9" w:rsidRPr="0029403D" w:rsidRDefault="001720D9" w:rsidP="002E14C6">
            <w:pPr>
              <w:jc w:val="center"/>
              <w:rPr>
                <w:sz w:val="22"/>
                <w:szCs w:val="22"/>
              </w:rPr>
            </w:pPr>
            <w:r>
              <w:rPr>
                <w:sz w:val="22"/>
                <w:szCs w:val="22"/>
              </w:rPr>
              <w:t>77,4</w:t>
            </w:r>
          </w:p>
        </w:tc>
        <w:tc>
          <w:tcPr>
            <w:tcW w:w="794" w:type="dxa"/>
            <w:vAlign w:val="center"/>
          </w:tcPr>
          <w:p w:rsidR="001720D9" w:rsidRPr="0029403D" w:rsidRDefault="001720D9" w:rsidP="00E95681">
            <w:pPr>
              <w:jc w:val="center"/>
              <w:rPr>
                <w:sz w:val="22"/>
                <w:szCs w:val="22"/>
              </w:rPr>
            </w:pPr>
            <w:r>
              <w:rPr>
                <w:sz w:val="22"/>
                <w:szCs w:val="22"/>
              </w:rPr>
              <w:t>1,0%</w:t>
            </w:r>
          </w:p>
        </w:tc>
        <w:tc>
          <w:tcPr>
            <w:tcW w:w="794" w:type="dxa"/>
            <w:vAlign w:val="center"/>
          </w:tcPr>
          <w:p w:rsidR="001720D9" w:rsidRPr="0029403D" w:rsidRDefault="001720D9" w:rsidP="00E95681">
            <w:pPr>
              <w:jc w:val="center"/>
              <w:rPr>
                <w:sz w:val="22"/>
                <w:szCs w:val="22"/>
              </w:rPr>
            </w:pPr>
            <w:r>
              <w:rPr>
                <w:sz w:val="22"/>
                <w:szCs w:val="22"/>
              </w:rPr>
              <w:t>0,9%</w:t>
            </w:r>
          </w:p>
        </w:tc>
        <w:tc>
          <w:tcPr>
            <w:tcW w:w="794" w:type="dxa"/>
            <w:vAlign w:val="center"/>
          </w:tcPr>
          <w:p w:rsidR="001720D9" w:rsidRPr="0029403D" w:rsidRDefault="001720D9" w:rsidP="002E14C6">
            <w:pPr>
              <w:jc w:val="center"/>
              <w:rPr>
                <w:sz w:val="22"/>
                <w:szCs w:val="22"/>
              </w:rPr>
            </w:pPr>
            <w:r>
              <w:rPr>
                <w:sz w:val="22"/>
                <w:szCs w:val="22"/>
              </w:rPr>
              <w:t>1,0%</w:t>
            </w:r>
          </w:p>
        </w:tc>
        <w:tc>
          <w:tcPr>
            <w:tcW w:w="1191" w:type="dxa"/>
            <w:vAlign w:val="center"/>
          </w:tcPr>
          <w:p w:rsidR="001720D9" w:rsidRPr="00AA4105" w:rsidRDefault="001720D9" w:rsidP="00E95681">
            <w:pPr>
              <w:jc w:val="center"/>
              <w:rPr>
                <w:sz w:val="21"/>
                <w:szCs w:val="21"/>
              </w:rPr>
            </w:pPr>
            <w:r>
              <w:rPr>
                <w:sz w:val="21"/>
                <w:szCs w:val="21"/>
              </w:rPr>
              <w:t>6,7 / 10,2%</w:t>
            </w:r>
          </w:p>
        </w:tc>
        <w:tc>
          <w:tcPr>
            <w:tcW w:w="1191" w:type="dxa"/>
            <w:vAlign w:val="center"/>
          </w:tcPr>
          <w:p w:rsidR="001720D9" w:rsidRPr="00AA4105" w:rsidRDefault="001720D9" w:rsidP="001720D9">
            <w:pPr>
              <w:jc w:val="center"/>
              <w:rPr>
                <w:sz w:val="21"/>
                <w:szCs w:val="21"/>
              </w:rPr>
            </w:pPr>
            <w:r>
              <w:rPr>
                <w:sz w:val="21"/>
                <w:szCs w:val="21"/>
              </w:rPr>
              <w:t>4,7 / 6,5%</w:t>
            </w:r>
          </w:p>
        </w:tc>
      </w:tr>
      <w:tr w:rsidR="001720D9" w:rsidRPr="0029403D" w:rsidTr="004B6B0C">
        <w:tc>
          <w:tcPr>
            <w:tcW w:w="2438" w:type="dxa"/>
          </w:tcPr>
          <w:p w:rsidR="001720D9" w:rsidRPr="0029403D" w:rsidRDefault="001720D9" w:rsidP="002E14C6">
            <w:r w:rsidRPr="0029403D">
              <w:t>Национальная бе</w:t>
            </w:r>
            <w:r w:rsidRPr="0029403D">
              <w:t>з</w:t>
            </w:r>
            <w:r w:rsidRPr="0029403D">
              <w:t>опасность и прав</w:t>
            </w:r>
            <w:r w:rsidRPr="0029403D">
              <w:t>о</w:t>
            </w:r>
            <w:r w:rsidRPr="0029403D">
              <w:t>охранительная де</w:t>
            </w:r>
            <w:r w:rsidRPr="0029403D">
              <w:t>я</w:t>
            </w:r>
            <w:r w:rsidRPr="0029403D">
              <w:t>тельность</w:t>
            </w:r>
          </w:p>
        </w:tc>
        <w:tc>
          <w:tcPr>
            <w:tcW w:w="850" w:type="dxa"/>
            <w:vAlign w:val="center"/>
          </w:tcPr>
          <w:p w:rsidR="001720D9" w:rsidRPr="0029403D" w:rsidRDefault="001720D9" w:rsidP="00E95681">
            <w:pPr>
              <w:jc w:val="center"/>
              <w:rPr>
                <w:sz w:val="22"/>
                <w:szCs w:val="22"/>
              </w:rPr>
            </w:pPr>
            <w:r>
              <w:rPr>
                <w:sz w:val="22"/>
                <w:szCs w:val="22"/>
              </w:rPr>
              <w:t>481,1</w:t>
            </w:r>
          </w:p>
        </w:tc>
        <w:tc>
          <w:tcPr>
            <w:tcW w:w="850" w:type="dxa"/>
            <w:vAlign w:val="center"/>
          </w:tcPr>
          <w:p w:rsidR="001720D9" w:rsidRPr="0029403D" w:rsidRDefault="001720D9" w:rsidP="00E95681">
            <w:pPr>
              <w:jc w:val="center"/>
              <w:rPr>
                <w:sz w:val="22"/>
                <w:szCs w:val="22"/>
              </w:rPr>
            </w:pPr>
            <w:r>
              <w:rPr>
                <w:sz w:val="22"/>
                <w:szCs w:val="22"/>
              </w:rPr>
              <w:t>518,0</w:t>
            </w:r>
          </w:p>
        </w:tc>
        <w:tc>
          <w:tcPr>
            <w:tcW w:w="850" w:type="dxa"/>
            <w:vAlign w:val="center"/>
          </w:tcPr>
          <w:p w:rsidR="001720D9" w:rsidRPr="0029403D" w:rsidRDefault="001720D9" w:rsidP="002E14C6">
            <w:pPr>
              <w:jc w:val="center"/>
              <w:rPr>
                <w:sz w:val="22"/>
                <w:szCs w:val="22"/>
              </w:rPr>
            </w:pPr>
            <w:r>
              <w:rPr>
                <w:sz w:val="22"/>
                <w:szCs w:val="22"/>
              </w:rPr>
              <w:t>936,7</w:t>
            </w:r>
          </w:p>
        </w:tc>
        <w:tc>
          <w:tcPr>
            <w:tcW w:w="794" w:type="dxa"/>
            <w:vAlign w:val="center"/>
          </w:tcPr>
          <w:p w:rsidR="001720D9" w:rsidRPr="0029403D" w:rsidRDefault="001720D9" w:rsidP="00E95681">
            <w:pPr>
              <w:jc w:val="center"/>
              <w:rPr>
                <w:sz w:val="22"/>
                <w:szCs w:val="22"/>
              </w:rPr>
            </w:pPr>
            <w:r>
              <w:rPr>
                <w:sz w:val="22"/>
                <w:szCs w:val="22"/>
              </w:rPr>
              <w:t>7,5%</w:t>
            </w:r>
          </w:p>
        </w:tc>
        <w:tc>
          <w:tcPr>
            <w:tcW w:w="794" w:type="dxa"/>
            <w:vAlign w:val="center"/>
          </w:tcPr>
          <w:p w:rsidR="001720D9" w:rsidRPr="0029403D" w:rsidRDefault="001720D9" w:rsidP="00E95681">
            <w:pPr>
              <w:jc w:val="center"/>
              <w:rPr>
                <w:sz w:val="22"/>
                <w:szCs w:val="22"/>
              </w:rPr>
            </w:pPr>
            <w:r>
              <w:rPr>
                <w:sz w:val="22"/>
                <w:szCs w:val="22"/>
              </w:rPr>
              <w:t>6,6%</w:t>
            </w:r>
          </w:p>
        </w:tc>
        <w:tc>
          <w:tcPr>
            <w:tcW w:w="794" w:type="dxa"/>
            <w:vAlign w:val="center"/>
          </w:tcPr>
          <w:p w:rsidR="001720D9" w:rsidRPr="0029403D" w:rsidRDefault="001720D9" w:rsidP="002E14C6">
            <w:pPr>
              <w:jc w:val="center"/>
              <w:rPr>
                <w:sz w:val="22"/>
                <w:szCs w:val="22"/>
              </w:rPr>
            </w:pPr>
            <w:r>
              <w:rPr>
                <w:sz w:val="22"/>
                <w:szCs w:val="22"/>
              </w:rPr>
              <w:t>11,9%</w:t>
            </w:r>
          </w:p>
        </w:tc>
        <w:tc>
          <w:tcPr>
            <w:tcW w:w="1191" w:type="dxa"/>
            <w:vAlign w:val="center"/>
          </w:tcPr>
          <w:p w:rsidR="001720D9" w:rsidRPr="0029403D" w:rsidRDefault="001720D9" w:rsidP="00E95681">
            <w:pPr>
              <w:jc w:val="center"/>
              <w:rPr>
                <w:sz w:val="22"/>
                <w:szCs w:val="22"/>
              </w:rPr>
            </w:pPr>
            <w:r>
              <w:rPr>
                <w:sz w:val="22"/>
                <w:szCs w:val="22"/>
              </w:rPr>
              <w:t>36,9 / 7,7%</w:t>
            </w:r>
          </w:p>
        </w:tc>
        <w:tc>
          <w:tcPr>
            <w:tcW w:w="1191" w:type="dxa"/>
            <w:vAlign w:val="center"/>
          </w:tcPr>
          <w:p w:rsidR="001720D9" w:rsidRPr="0029403D" w:rsidRDefault="001720D9" w:rsidP="001720D9">
            <w:pPr>
              <w:jc w:val="center"/>
              <w:rPr>
                <w:sz w:val="22"/>
                <w:szCs w:val="22"/>
              </w:rPr>
            </w:pPr>
            <w:r>
              <w:rPr>
                <w:sz w:val="22"/>
                <w:szCs w:val="22"/>
              </w:rPr>
              <w:t>418,7 / 80,8%</w:t>
            </w:r>
          </w:p>
        </w:tc>
      </w:tr>
      <w:tr w:rsidR="001720D9" w:rsidRPr="0029403D" w:rsidTr="0033234C">
        <w:tc>
          <w:tcPr>
            <w:tcW w:w="2438" w:type="dxa"/>
          </w:tcPr>
          <w:p w:rsidR="001720D9" w:rsidRPr="0029403D" w:rsidRDefault="001720D9" w:rsidP="00365B01">
            <w:pPr>
              <w:rPr>
                <w:sz w:val="22"/>
                <w:szCs w:val="22"/>
              </w:rPr>
            </w:pPr>
            <w:r w:rsidRPr="0029403D">
              <w:rPr>
                <w:sz w:val="22"/>
                <w:szCs w:val="22"/>
              </w:rPr>
              <w:t xml:space="preserve">Национальная </w:t>
            </w:r>
            <w:r>
              <w:rPr>
                <w:sz w:val="22"/>
                <w:szCs w:val="22"/>
              </w:rPr>
              <w:t>экон</w:t>
            </w:r>
            <w:r>
              <w:rPr>
                <w:sz w:val="22"/>
                <w:szCs w:val="22"/>
              </w:rPr>
              <w:t>о</w:t>
            </w:r>
            <w:r>
              <w:rPr>
                <w:sz w:val="22"/>
                <w:szCs w:val="22"/>
              </w:rPr>
              <w:t>мика</w:t>
            </w:r>
          </w:p>
        </w:tc>
        <w:tc>
          <w:tcPr>
            <w:tcW w:w="850" w:type="dxa"/>
            <w:vAlign w:val="center"/>
          </w:tcPr>
          <w:p w:rsidR="001720D9" w:rsidRPr="0029403D" w:rsidRDefault="001720D9" w:rsidP="00E95681">
            <w:pPr>
              <w:jc w:val="center"/>
              <w:rPr>
                <w:sz w:val="22"/>
                <w:szCs w:val="22"/>
              </w:rPr>
            </w:pPr>
            <w:r>
              <w:rPr>
                <w:sz w:val="22"/>
                <w:szCs w:val="22"/>
              </w:rPr>
              <w:t>194,0</w:t>
            </w:r>
          </w:p>
        </w:tc>
        <w:tc>
          <w:tcPr>
            <w:tcW w:w="850" w:type="dxa"/>
            <w:vAlign w:val="center"/>
          </w:tcPr>
          <w:p w:rsidR="001720D9" w:rsidRPr="0029403D" w:rsidRDefault="001720D9" w:rsidP="00E95681">
            <w:pPr>
              <w:jc w:val="center"/>
              <w:rPr>
                <w:sz w:val="22"/>
                <w:szCs w:val="22"/>
              </w:rPr>
            </w:pPr>
            <w:r>
              <w:rPr>
                <w:sz w:val="22"/>
                <w:szCs w:val="22"/>
              </w:rPr>
              <w:t>1355,3</w:t>
            </w:r>
          </w:p>
        </w:tc>
        <w:tc>
          <w:tcPr>
            <w:tcW w:w="850" w:type="dxa"/>
            <w:vAlign w:val="center"/>
          </w:tcPr>
          <w:p w:rsidR="001720D9" w:rsidRPr="0029403D" w:rsidRDefault="001720D9" w:rsidP="0033234C">
            <w:pPr>
              <w:jc w:val="center"/>
              <w:rPr>
                <w:sz w:val="22"/>
                <w:szCs w:val="22"/>
              </w:rPr>
            </w:pPr>
            <w:r>
              <w:rPr>
                <w:sz w:val="22"/>
                <w:szCs w:val="22"/>
              </w:rPr>
              <w:t>140,8</w:t>
            </w:r>
          </w:p>
        </w:tc>
        <w:tc>
          <w:tcPr>
            <w:tcW w:w="794" w:type="dxa"/>
            <w:vAlign w:val="center"/>
          </w:tcPr>
          <w:p w:rsidR="001720D9" w:rsidRPr="0029403D" w:rsidRDefault="001720D9" w:rsidP="00E95681">
            <w:pPr>
              <w:jc w:val="center"/>
              <w:rPr>
                <w:sz w:val="22"/>
                <w:szCs w:val="22"/>
              </w:rPr>
            </w:pPr>
            <w:r>
              <w:rPr>
                <w:sz w:val="22"/>
                <w:szCs w:val="22"/>
              </w:rPr>
              <w:t>3,0%</w:t>
            </w:r>
          </w:p>
        </w:tc>
        <w:tc>
          <w:tcPr>
            <w:tcW w:w="794" w:type="dxa"/>
            <w:vAlign w:val="center"/>
          </w:tcPr>
          <w:p w:rsidR="001720D9" w:rsidRPr="0029403D" w:rsidRDefault="001720D9" w:rsidP="00E95681">
            <w:pPr>
              <w:jc w:val="center"/>
              <w:rPr>
                <w:sz w:val="22"/>
                <w:szCs w:val="22"/>
              </w:rPr>
            </w:pPr>
            <w:r>
              <w:rPr>
                <w:sz w:val="22"/>
                <w:szCs w:val="22"/>
              </w:rPr>
              <w:t>17,2%</w:t>
            </w:r>
          </w:p>
        </w:tc>
        <w:tc>
          <w:tcPr>
            <w:tcW w:w="794" w:type="dxa"/>
            <w:vAlign w:val="center"/>
          </w:tcPr>
          <w:p w:rsidR="001720D9" w:rsidRPr="0029403D" w:rsidRDefault="001720D9" w:rsidP="0033234C">
            <w:pPr>
              <w:jc w:val="center"/>
              <w:rPr>
                <w:sz w:val="22"/>
                <w:szCs w:val="22"/>
              </w:rPr>
            </w:pPr>
            <w:r>
              <w:rPr>
                <w:sz w:val="22"/>
                <w:szCs w:val="22"/>
              </w:rPr>
              <w:t>1,8%</w:t>
            </w:r>
          </w:p>
        </w:tc>
        <w:tc>
          <w:tcPr>
            <w:tcW w:w="1191" w:type="dxa"/>
            <w:vAlign w:val="center"/>
          </w:tcPr>
          <w:p w:rsidR="001720D9" w:rsidRDefault="001720D9" w:rsidP="00E95681">
            <w:pPr>
              <w:jc w:val="center"/>
              <w:rPr>
                <w:sz w:val="22"/>
                <w:szCs w:val="22"/>
              </w:rPr>
            </w:pPr>
            <w:r>
              <w:rPr>
                <w:sz w:val="22"/>
                <w:szCs w:val="22"/>
              </w:rPr>
              <w:t xml:space="preserve">1161,3 / </w:t>
            </w:r>
          </w:p>
          <w:p w:rsidR="001720D9" w:rsidRPr="0029403D" w:rsidRDefault="001720D9" w:rsidP="00E95681">
            <w:pPr>
              <w:jc w:val="center"/>
              <w:rPr>
                <w:sz w:val="22"/>
                <w:szCs w:val="22"/>
              </w:rPr>
            </w:pPr>
            <w:r>
              <w:rPr>
                <w:sz w:val="22"/>
                <w:szCs w:val="22"/>
              </w:rPr>
              <w:t>7 раз</w:t>
            </w:r>
          </w:p>
        </w:tc>
        <w:tc>
          <w:tcPr>
            <w:tcW w:w="1191" w:type="dxa"/>
            <w:vAlign w:val="center"/>
          </w:tcPr>
          <w:p w:rsidR="001720D9" w:rsidRDefault="001720D9" w:rsidP="00F64826">
            <w:pPr>
              <w:jc w:val="center"/>
              <w:rPr>
                <w:sz w:val="22"/>
                <w:szCs w:val="22"/>
              </w:rPr>
            </w:pPr>
            <w:r>
              <w:rPr>
                <w:sz w:val="22"/>
                <w:szCs w:val="22"/>
              </w:rPr>
              <w:t xml:space="preserve">-1214,5 / </w:t>
            </w:r>
          </w:p>
          <w:p w:rsidR="001720D9" w:rsidRPr="0029403D" w:rsidRDefault="001720D9" w:rsidP="00F64826">
            <w:pPr>
              <w:jc w:val="center"/>
              <w:rPr>
                <w:sz w:val="22"/>
                <w:szCs w:val="22"/>
              </w:rPr>
            </w:pPr>
            <w:r>
              <w:rPr>
                <w:sz w:val="22"/>
                <w:szCs w:val="22"/>
              </w:rPr>
              <w:t>-89,6%</w:t>
            </w:r>
          </w:p>
        </w:tc>
      </w:tr>
      <w:tr w:rsidR="001720D9" w:rsidRPr="0029403D" w:rsidTr="004B6B0C">
        <w:tc>
          <w:tcPr>
            <w:tcW w:w="2438" w:type="dxa"/>
            <w:vAlign w:val="center"/>
          </w:tcPr>
          <w:p w:rsidR="001720D9" w:rsidRPr="0029403D" w:rsidRDefault="001720D9" w:rsidP="002E14C6">
            <w:r w:rsidRPr="0029403D">
              <w:t>Жилищно-комму</w:t>
            </w:r>
            <w:r>
              <w:t>-</w:t>
            </w:r>
            <w:proofErr w:type="spellStart"/>
            <w:r w:rsidRPr="0029403D">
              <w:t>нальное</w:t>
            </w:r>
            <w:proofErr w:type="spellEnd"/>
            <w:r w:rsidRPr="0029403D">
              <w:t xml:space="preserve"> хозяйство</w:t>
            </w:r>
          </w:p>
        </w:tc>
        <w:tc>
          <w:tcPr>
            <w:tcW w:w="850" w:type="dxa"/>
            <w:vAlign w:val="center"/>
          </w:tcPr>
          <w:p w:rsidR="001720D9" w:rsidRPr="0029403D" w:rsidRDefault="001720D9" w:rsidP="00E95681">
            <w:pPr>
              <w:jc w:val="center"/>
              <w:rPr>
                <w:sz w:val="22"/>
                <w:szCs w:val="22"/>
              </w:rPr>
            </w:pPr>
            <w:r>
              <w:rPr>
                <w:sz w:val="22"/>
                <w:szCs w:val="22"/>
              </w:rPr>
              <w:t>507,1</w:t>
            </w:r>
          </w:p>
        </w:tc>
        <w:tc>
          <w:tcPr>
            <w:tcW w:w="850" w:type="dxa"/>
            <w:vAlign w:val="center"/>
          </w:tcPr>
          <w:p w:rsidR="001720D9" w:rsidRPr="0029403D" w:rsidRDefault="001720D9" w:rsidP="00E95681">
            <w:pPr>
              <w:jc w:val="center"/>
              <w:rPr>
                <w:sz w:val="22"/>
                <w:szCs w:val="22"/>
              </w:rPr>
            </w:pPr>
            <w:r>
              <w:rPr>
                <w:sz w:val="22"/>
                <w:szCs w:val="22"/>
              </w:rPr>
              <w:t>1129,9</w:t>
            </w:r>
          </w:p>
        </w:tc>
        <w:tc>
          <w:tcPr>
            <w:tcW w:w="850" w:type="dxa"/>
            <w:vAlign w:val="center"/>
          </w:tcPr>
          <w:p w:rsidR="001720D9" w:rsidRPr="0029403D" w:rsidRDefault="001720D9" w:rsidP="00381832">
            <w:pPr>
              <w:jc w:val="center"/>
              <w:rPr>
                <w:sz w:val="22"/>
                <w:szCs w:val="22"/>
              </w:rPr>
            </w:pPr>
            <w:r>
              <w:rPr>
                <w:sz w:val="22"/>
                <w:szCs w:val="22"/>
              </w:rPr>
              <w:t>843,6</w:t>
            </w:r>
          </w:p>
        </w:tc>
        <w:tc>
          <w:tcPr>
            <w:tcW w:w="794" w:type="dxa"/>
            <w:vAlign w:val="center"/>
          </w:tcPr>
          <w:p w:rsidR="001720D9" w:rsidRPr="0029403D" w:rsidRDefault="001720D9" w:rsidP="00E95681">
            <w:pPr>
              <w:jc w:val="center"/>
              <w:rPr>
                <w:sz w:val="22"/>
                <w:szCs w:val="22"/>
              </w:rPr>
            </w:pPr>
            <w:r>
              <w:rPr>
                <w:sz w:val="22"/>
                <w:szCs w:val="22"/>
              </w:rPr>
              <w:t>7,9%</w:t>
            </w:r>
          </w:p>
        </w:tc>
        <w:tc>
          <w:tcPr>
            <w:tcW w:w="794" w:type="dxa"/>
            <w:vAlign w:val="center"/>
          </w:tcPr>
          <w:p w:rsidR="001720D9" w:rsidRPr="0029403D" w:rsidRDefault="001720D9" w:rsidP="00E95681">
            <w:pPr>
              <w:jc w:val="center"/>
              <w:rPr>
                <w:sz w:val="22"/>
                <w:szCs w:val="22"/>
              </w:rPr>
            </w:pPr>
            <w:r>
              <w:rPr>
                <w:sz w:val="22"/>
                <w:szCs w:val="22"/>
              </w:rPr>
              <w:t>14,4%</w:t>
            </w:r>
          </w:p>
        </w:tc>
        <w:tc>
          <w:tcPr>
            <w:tcW w:w="794" w:type="dxa"/>
            <w:vAlign w:val="center"/>
          </w:tcPr>
          <w:p w:rsidR="001720D9" w:rsidRPr="0029403D" w:rsidRDefault="001720D9" w:rsidP="002E14C6">
            <w:pPr>
              <w:jc w:val="center"/>
              <w:rPr>
                <w:sz w:val="22"/>
                <w:szCs w:val="22"/>
              </w:rPr>
            </w:pPr>
            <w:r>
              <w:rPr>
                <w:sz w:val="22"/>
                <w:szCs w:val="22"/>
              </w:rPr>
              <w:t>10,8%</w:t>
            </w:r>
          </w:p>
        </w:tc>
        <w:tc>
          <w:tcPr>
            <w:tcW w:w="1191" w:type="dxa"/>
            <w:vAlign w:val="center"/>
          </w:tcPr>
          <w:p w:rsidR="001720D9" w:rsidRPr="0029403D" w:rsidRDefault="001720D9" w:rsidP="00E95681">
            <w:pPr>
              <w:jc w:val="center"/>
              <w:rPr>
                <w:sz w:val="22"/>
                <w:szCs w:val="22"/>
              </w:rPr>
            </w:pPr>
            <w:r>
              <w:rPr>
                <w:sz w:val="22"/>
                <w:szCs w:val="22"/>
              </w:rPr>
              <w:t>622,8 / 122,8%</w:t>
            </w:r>
          </w:p>
        </w:tc>
        <w:tc>
          <w:tcPr>
            <w:tcW w:w="1191" w:type="dxa"/>
            <w:vAlign w:val="center"/>
          </w:tcPr>
          <w:p w:rsidR="001720D9" w:rsidRDefault="001720D9" w:rsidP="001720D9">
            <w:pPr>
              <w:jc w:val="center"/>
              <w:rPr>
                <w:sz w:val="22"/>
                <w:szCs w:val="22"/>
              </w:rPr>
            </w:pPr>
            <w:r>
              <w:rPr>
                <w:sz w:val="22"/>
                <w:szCs w:val="22"/>
              </w:rPr>
              <w:t xml:space="preserve">-286,3 / </w:t>
            </w:r>
          </w:p>
          <w:p w:rsidR="001720D9" w:rsidRPr="0029403D" w:rsidRDefault="001720D9" w:rsidP="001720D9">
            <w:pPr>
              <w:jc w:val="center"/>
              <w:rPr>
                <w:sz w:val="22"/>
                <w:szCs w:val="22"/>
              </w:rPr>
            </w:pPr>
            <w:r>
              <w:rPr>
                <w:sz w:val="22"/>
                <w:szCs w:val="22"/>
              </w:rPr>
              <w:t>-25,3%</w:t>
            </w:r>
          </w:p>
        </w:tc>
      </w:tr>
      <w:tr w:rsidR="001720D9" w:rsidRPr="0029403D" w:rsidTr="0033234C">
        <w:tc>
          <w:tcPr>
            <w:tcW w:w="2438" w:type="dxa"/>
          </w:tcPr>
          <w:p w:rsidR="001720D9" w:rsidRPr="0029403D" w:rsidRDefault="001720D9" w:rsidP="00AA4105">
            <w:pPr>
              <w:spacing w:before="40" w:after="40"/>
            </w:pPr>
            <w:r>
              <w:t>Образование</w:t>
            </w:r>
          </w:p>
        </w:tc>
        <w:tc>
          <w:tcPr>
            <w:tcW w:w="850" w:type="dxa"/>
            <w:vAlign w:val="center"/>
          </w:tcPr>
          <w:p w:rsidR="001720D9" w:rsidRPr="0029403D" w:rsidRDefault="001720D9" w:rsidP="00E95681">
            <w:pPr>
              <w:spacing w:before="40" w:after="40"/>
              <w:jc w:val="center"/>
              <w:rPr>
                <w:sz w:val="22"/>
                <w:szCs w:val="22"/>
              </w:rPr>
            </w:pPr>
            <w:r>
              <w:rPr>
                <w:sz w:val="22"/>
                <w:szCs w:val="22"/>
              </w:rPr>
              <w:t>5,0</w:t>
            </w:r>
          </w:p>
        </w:tc>
        <w:tc>
          <w:tcPr>
            <w:tcW w:w="850" w:type="dxa"/>
            <w:vAlign w:val="center"/>
          </w:tcPr>
          <w:p w:rsidR="001720D9" w:rsidRPr="0029403D" w:rsidRDefault="001720D9" w:rsidP="00E95681">
            <w:pPr>
              <w:spacing w:before="40" w:after="40"/>
              <w:jc w:val="center"/>
              <w:rPr>
                <w:sz w:val="22"/>
                <w:szCs w:val="22"/>
              </w:rPr>
            </w:pPr>
          </w:p>
        </w:tc>
        <w:tc>
          <w:tcPr>
            <w:tcW w:w="850" w:type="dxa"/>
            <w:vAlign w:val="center"/>
          </w:tcPr>
          <w:p w:rsidR="001720D9" w:rsidRPr="0029403D" w:rsidRDefault="001720D9" w:rsidP="00AA4105">
            <w:pPr>
              <w:spacing w:before="40" w:after="40"/>
              <w:jc w:val="center"/>
              <w:rPr>
                <w:sz w:val="22"/>
                <w:szCs w:val="22"/>
              </w:rPr>
            </w:pPr>
          </w:p>
        </w:tc>
        <w:tc>
          <w:tcPr>
            <w:tcW w:w="794" w:type="dxa"/>
            <w:vAlign w:val="center"/>
          </w:tcPr>
          <w:p w:rsidR="001720D9" w:rsidRPr="0029403D" w:rsidRDefault="001720D9" w:rsidP="00E95681">
            <w:pPr>
              <w:spacing w:before="40" w:after="40"/>
              <w:jc w:val="center"/>
              <w:rPr>
                <w:sz w:val="22"/>
                <w:szCs w:val="22"/>
              </w:rPr>
            </w:pPr>
            <w:r>
              <w:rPr>
                <w:sz w:val="22"/>
                <w:szCs w:val="22"/>
              </w:rPr>
              <w:t>0,1%</w:t>
            </w:r>
          </w:p>
        </w:tc>
        <w:tc>
          <w:tcPr>
            <w:tcW w:w="794" w:type="dxa"/>
            <w:vAlign w:val="center"/>
          </w:tcPr>
          <w:p w:rsidR="001720D9" w:rsidRPr="0029403D" w:rsidRDefault="001720D9" w:rsidP="00E95681">
            <w:pPr>
              <w:spacing w:before="40" w:after="40"/>
              <w:jc w:val="center"/>
              <w:rPr>
                <w:sz w:val="22"/>
                <w:szCs w:val="22"/>
              </w:rPr>
            </w:pPr>
          </w:p>
        </w:tc>
        <w:tc>
          <w:tcPr>
            <w:tcW w:w="794" w:type="dxa"/>
            <w:vAlign w:val="center"/>
          </w:tcPr>
          <w:p w:rsidR="001720D9" w:rsidRPr="0029403D" w:rsidRDefault="001720D9" w:rsidP="00AA4105">
            <w:pPr>
              <w:spacing w:before="40" w:after="40"/>
              <w:jc w:val="center"/>
              <w:rPr>
                <w:sz w:val="22"/>
                <w:szCs w:val="22"/>
              </w:rPr>
            </w:pPr>
          </w:p>
        </w:tc>
        <w:tc>
          <w:tcPr>
            <w:tcW w:w="1191" w:type="dxa"/>
            <w:vAlign w:val="center"/>
          </w:tcPr>
          <w:p w:rsidR="001720D9" w:rsidRPr="0029403D" w:rsidRDefault="001720D9" w:rsidP="00E95681">
            <w:pPr>
              <w:spacing w:before="40" w:after="40"/>
              <w:jc w:val="center"/>
              <w:rPr>
                <w:sz w:val="22"/>
                <w:szCs w:val="22"/>
              </w:rPr>
            </w:pPr>
          </w:p>
        </w:tc>
        <w:tc>
          <w:tcPr>
            <w:tcW w:w="1191" w:type="dxa"/>
            <w:vAlign w:val="center"/>
          </w:tcPr>
          <w:p w:rsidR="001720D9" w:rsidRPr="0029403D" w:rsidRDefault="001720D9" w:rsidP="00AA4105">
            <w:pPr>
              <w:spacing w:before="40" w:after="40"/>
              <w:jc w:val="center"/>
              <w:rPr>
                <w:sz w:val="22"/>
                <w:szCs w:val="22"/>
              </w:rPr>
            </w:pPr>
          </w:p>
        </w:tc>
      </w:tr>
      <w:tr w:rsidR="001720D9" w:rsidRPr="0029403D" w:rsidTr="004B6B0C">
        <w:tc>
          <w:tcPr>
            <w:tcW w:w="2438" w:type="dxa"/>
            <w:vAlign w:val="center"/>
          </w:tcPr>
          <w:p w:rsidR="001720D9" w:rsidRPr="0029403D" w:rsidRDefault="001720D9" w:rsidP="002E14C6">
            <w:r w:rsidRPr="0029403D">
              <w:t>Культура, кинемат</w:t>
            </w:r>
            <w:r w:rsidRPr="0029403D">
              <w:t>о</w:t>
            </w:r>
            <w:r w:rsidRPr="0029403D">
              <w:t>графия</w:t>
            </w:r>
          </w:p>
        </w:tc>
        <w:tc>
          <w:tcPr>
            <w:tcW w:w="850" w:type="dxa"/>
            <w:vAlign w:val="center"/>
          </w:tcPr>
          <w:p w:rsidR="001720D9" w:rsidRPr="0029403D" w:rsidRDefault="001720D9" w:rsidP="00E95681">
            <w:pPr>
              <w:jc w:val="center"/>
              <w:rPr>
                <w:sz w:val="22"/>
                <w:szCs w:val="22"/>
              </w:rPr>
            </w:pPr>
            <w:r>
              <w:rPr>
                <w:sz w:val="22"/>
                <w:szCs w:val="22"/>
              </w:rPr>
              <w:t>3064,8</w:t>
            </w:r>
          </w:p>
        </w:tc>
        <w:tc>
          <w:tcPr>
            <w:tcW w:w="850" w:type="dxa"/>
            <w:vAlign w:val="center"/>
          </w:tcPr>
          <w:p w:rsidR="001720D9" w:rsidRPr="0029403D" w:rsidRDefault="001720D9" w:rsidP="00E95681">
            <w:pPr>
              <w:jc w:val="center"/>
              <w:rPr>
                <w:sz w:val="22"/>
                <w:szCs w:val="22"/>
              </w:rPr>
            </w:pPr>
            <w:r>
              <w:rPr>
                <w:sz w:val="22"/>
                <w:szCs w:val="22"/>
              </w:rPr>
              <w:t>2836,5</w:t>
            </w:r>
          </w:p>
        </w:tc>
        <w:tc>
          <w:tcPr>
            <w:tcW w:w="850" w:type="dxa"/>
            <w:vAlign w:val="center"/>
          </w:tcPr>
          <w:p w:rsidR="001720D9" w:rsidRPr="0029403D" w:rsidRDefault="001720D9" w:rsidP="002E14C6">
            <w:pPr>
              <w:jc w:val="center"/>
              <w:rPr>
                <w:sz w:val="22"/>
                <w:szCs w:val="22"/>
              </w:rPr>
            </w:pPr>
            <w:r>
              <w:rPr>
                <w:sz w:val="22"/>
                <w:szCs w:val="22"/>
              </w:rPr>
              <w:t>3889,9</w:t>
            </w:r>
          </w:p>
        </w:tc>
        <w:tc>
          <w:tcPr>
            <w:tcW w:w="794" w:type="dxa"/>
            <w:vAlign w:val="center"/>
          </w:tcPr>
          <w:p w:rsidR="001720D9" w:rsidRPr="0029403D" w:rsidRDefault="001720D9" w:rsidP="00E95681">
            <w:pPr>
              <w:jc w:val="center"/>
              <w:rPr>
                <w:sz w:val="22"/>
                <w:szCs w:val="22"/>
              </w:rPr>
            </w:pPr>
            <w:r>
              <w:rPr>
                <w:sz w:val="22"/>
                <w:szCs w:val="22"/>
              </w:rPr>
              <w:t>48,0%</w:t>
            </w:r>
          </w:p>
        </w:tc>
        <w:tc>
          <w:tcPr>
            <w:tcW w:w="794" w:type="dxa"/>
            <w:vAlign w:val="center"/>
          </w:tcPr>
          <w:p w:rsidR="001720D9" w:rsidRPr="0029403D" w:rsidRDefault="001720D9" w:rsidP="00E95681">
            <w:pPr>
              <w:jc w:val="center"/>
              <w:rPr>
                <w:sz w:val="22"/>
                <w:szCs w:val="22"/>
              </w:rPr>
            </w:pPr>
            <w:r>
              <w:rPr>
                <w:sz w:val="22"/>
                <w:szCs w:val="22"/>
              </w:rPr>
              <w:t>36,0%</w:t>
            </w:r>
          </w:p>
        </w:tc>
        <w:tc>
          <w:tcPr>
            <w:tcW w:w="794" w:type="dxa"/>
            <w:vAlign w:val="center"/>
          </w:tcPr>
          <w:p w:rsidR="001720D9" w:rsidRPr="0029403D" w:rsidRDefault="001720D9" w:rsidP="00911D8B">
            <w:pPr>
              <w:jc w:val="center"/>
              <w:rPr>
                <w:sz w:val="22"/>
                <w:szCs w:val="22"/>
              </w:rPr>
            </w:pPr>
            <w:r>
              <w:rPr>
                <w:sz w:val="22"/>
                <w:szCs w:val="22"/>
              </w:rPr>
              <w:t>49,6%</w:t>
            </w:r>
          </w:p>
        </w:tc>
        <w:tc>
          <w:tcPr>
            <w:tcW w:w="1191" w:type="dxa"/>
            <w:vAlign w:val="center"/>
          </w:tcPr>
          <w:p w:rsidR="001720D9" w:rsidRDefault="001720D9" w:rsidP="00E95681">
            <w:pPr>
              <w:jc w:val="center"/>
              <w:rPr>
                <w:sz w:val="22"/>
                <w:szCs w:val="22"/>
              </w:rPr>
            </w:pPr>
            <w:r>
              <w:rPr>
                <w:sz w:val="22"/>
                <w:szCs w:val="22"/>
              </w:rPr>
              <w:t xml:space="preserve">-228,3 / </w:t>
            </w:r>
          </w:p>
          <w:p w:rsidR="001720D9" w:rsidRPr="0029403D" w:rsidRDefault="001720D9" w:rsidP="00E95681">
            <w:pPr>
              <w:jc w:val="center"/>
              <w:rPr>
                <w:sz w:val="22"/>
                <w:szCs w:val="22"/>
              </w:rPr>
            </w:pPr>
            <w:r>
              <w:rPr>
                <w:sz w:val="22"/>
                <w:szCs w:val="22"/>
              </w:rPr>
              <w:t>-7,4%</w:t>
            </w:r>
          </w:p>
        </w:tc>
        <w:tc>
          <w:tcPr>
            <w:tcW w:w="1191" w:type="dxa"/>
            <w:vAlign w:val="center"/>
          </w:tcPr>
          <w:p w:rsidR="001720D9" w:rsidRDefault="001720D9" w:rsidP="00E02480">
            <w:pPr>
              <w:jc w:val="center"/>
              <w:rPr>
                <w:sz w:val="22"/>
                <w:szCs w:val="22"/>
              </w:rPr>
            </w:pPr>
            <w:r>
              <w:rPr>
                <w:sz w:val="22"/>
                <w:szCs w:val="22"/>
              </w:rPr>
              <w:t xml:space="preserve">1053,4 / </w:t>
            </w:r>
          </w:p>
          <w:p w:rsidR="001720D9" w:rsidRPr="0029403D" w:rsidRDefault="001720D9" w:rsidP="007D5117">
            <w:pPr>
              <w:jc w:val="center"/>
              <w:rPr>
                <w:sz w:val="22"/>
                <w:szCs w:val="22"/>
              </w:rPr>
            </w:pPr>
            <w:r>
              <w:rPr>
                <w:sz w:val="22"/>
                <w:szCs w:val="22"/>
              </w:rPr>
              <w:t>37,1%</w:t>
            </w:r>
          </w:p>
        </w:tc>
      </w:tr>
      <w:tr w:rsidR="001720D9" w:rsidRPr="0029403D" w:rsidTr="004B6B0C">
        <w:tc>
          <w:tcPr>
            <w:tcW w:w="2438" w:type="dxa"/>
          </w:tcPr>
          <w:p w:rsidR="001720D9" w:rsidRPr="00F64826" w:rsidRDefault="001720D9" w:rsidP="001720D9">
            <w:pPr>
              <w:spacing w:before="120"/>
              <w:rPr>
                <w:spacing w:val="-2"/>
              </w:rPr>
            </w:pPr>
            <w:r w:rsidRPr="00F64826">
              <w:rPr>
                <w:spacing w:val="-2"/>
              </w:rPr>
              <w:t>Социальная политика</w:t>
            </w:r>
          </w:p>
        </w:tc>
        <w:tc>
          <w:tcPr>
            <w:tcW w:w="850" w:type="dxa"/>
            <w:vAlign w:val="center"/>
          </w:tcPr>
          <w:p w:rsidR="001720D9" w:rsidRPr="0029403D" w:rsidRDefault="001720D9" w:rsidP="00E95681">
            <w:pPr>
              <w:jc w:val="center"/>
              <w:rPr>
                <w:sz w:val="22"/>
                <w:szCs w:val="22"/>
              </w:rPr>
            </w:pPr>
            <w:r>
              <w:rPr>
                <w:sz w:val="22"/>
                <w:szCs w:val="22"/>
              </w:rPr>
              <w:t>56,8</w:t>
            </w:r>
          </w:p>
        </w:tc>
        <w:tc>
          <w:tcPr>
            <w:tcW w:w="850" w:type="dxa"/>
            <w:vAlign w:val="center"/>
          </w:tcPr>
          <w:p w:rsidR="001720D9" w:rsidRPr="0029403D" w:rsidRDefault="001720D9" w:rsidP="00E95681">
            <w:pPr>
              <w:jc w:val="center"/>
              <w:rPr>
                <w:sz w:val="22"/>
                <w:szCs w:val="22"/>
              </w:rPr>
            </w:pPr>
            <w:r>
              <w:rPr>
                <w:sz w:val="22"/>
                <w:szCs w:val="22"/>
              </w:rPr>
              <w:t>58,6</w:t>
            </w:r>
          </w:p>
        </w:tc>
        <w:tc>
          <w:tcPr>
            <w:tcW w:w="850" w:type="dxa"/>
            <w:vAlign w:val="center"/>
          </w:tcPr>
          <w:p w:rsidR="001720D9" w:rsidRPr="0029403D" w:rsidRDefault="001720D9" w:rsidP="002E14C6">
            <w:pPr>
              <w:jc w:val="center"/>
              <w:rPr>
                <w:sz w:val="22"/>
                <w:szCs w:val="22"/>
              </w:rPr>
            </w:pPr>
            <w:r>
              <w:rPr>
                <w:sz w:val="22"/>
                <w:szCs w:val="22"/>
              </w:rPr>
              <w:t>105,3</w:t>
            </w:r>
          </w:p>
        </w:tc>
        <w:tc>
          <w:tcPr>
            <w:tcW w:w="794" w:type="dxa"/>
            <w:vAlign w:val="center"/>
          </w:tcPr>
          <w:p w:rsidR="001720D9" w:rsidRPr="0029403D" w:rsidRDefault="001720D9" w:rsidP="00E95681">
            <w:pPr>
              <w:jc w:val="center"/>
              <w:rPr>
                <w:sz w:val="22"/>
                <w:szCs w:val="22"/>
              </w:rPr>
            </w:pPr>
            <w:r>
              <w:rPr>
                <w:sz w:val="22"/>
                <w:szCs w:val="22"/>
              </w:rPr>
              <w:t>0,9%</w:t>
            </w:r>
          </w:p>
        </w:tc>
        <w:tc>
          <w:tcPr>
            <w:tcW w:w="794" w:type="dxa"/>
            <w:vAlign w:val="center"/>
          </w:tcPr>
          <w:p w:rsidR="001720D9" w:rsidRPr="0029403D" w:rsidRDefault="001720D9" w:rsidP="00E95681">
            <w:pPr>
              <w:jc w:val="center"/>
              <w:rPr>
                <w:sz w:val="22"/>
                <w:szCs w:val="22"/>
              </w:rPr>
            </w:pPr>
            <w:r>
              <w:rPr>
                <w:sz w:val="22"/>
                <w:szCs w:val="22"/>
              </w:rPr>
              <w:t>0,7%</w:t>
            </w:r>
          </w:p>
        </w:tc>
        <w:tc>
          <w:tcPr>
            <w:tcW w:w="794" w:type="dxa"/>
            <w:vAlign w:val="center"/>
          </w:tcPr>
          <w:p w:rsidR="001720D9" w:rsidRPr="0029403D" w:rsidRDefault="001720D9" w:rsidP="002E14C6">
            <w:pPr>
              <w:jc w:val="center"/>
              <w:rPr>
                <w:sz w:val="22"/>
                <w:szCs w:val="22"/>
              </w:rPr>
            </w:pPr>
            <w:r>
              <w:rPr>
                <w:sz w:val="22"/>
                <w:szCs w:val="22"/>
              </w:rPr>
              <w:t>1,3%</w:t>
            </w:r>
          </w:p>
        </w:tc>
        <w:tc>
          <w:tcPr>
            <w:tcW w:w="1191" w:type="dxa"/>
            <w:vAlign w:val="center"/>
          </w:tcPr>
          <w:p w:rsidR="001720D9" w:rsidRPr="0029403D" w:rsidRDefault="001720D9" w:rsidP="00E95681">
            <w:pPr>
              <w:jc w:val="center"/>
              <w:rPr>
                <w:sz w:val="22"/>
                <w:szCs w:val="22"/>
              </w:rPr>
            </w:pPr>
            <w:r>
              <w:rPr>
                <w:sz w:val="22"/>
                <w:szCs w:val="22"/>
              </w:rPr>
              <w:t>1,8 / 3,2%</w:t>
            </w:r>
          </w:p>
        </w:tc>
        <w:tc>
          <w:tcPr>
            <w:tcW w:w="1191" w:type="dxa"/>
            <w:vAlign w:val="center"/>
          </w:tcPr>
          <w:p w:rsidR="001720D9" w:rsidRPr="0029403D" w:rsidRDefault="001720D9" w:rsidP="001720D9">
            <w:pPr>
              <w:jc w:val="center"/>
              <w:rPr>
                <w:sz w:val="22"/>
                <w:szCs w:val="22"/>
              </w:rPr>
            </w:pPr>
            <w:r>
              <w:rPr>
                <w:sz w:val="22"/>
                <w:szCs w:val="22"/>
              </w:rPr>
              <w:t>46,7 / 79,7%</w:t>
            </w:r>
          </w:p>
        </w:tc>
      </w:tr>
      <w:tr w:rsidR="001720D9" w:rsidRPr="0029403D" w:rsidTr="004B6B0C">
        <w:tc>
          <w:tcPr>
            <w:tcW w:w="2438" w:type="dxa"/>
          </w:tcPr>
          <w:p w:rsidR="001720D9" w:rsidRPr="0029403D" w:rsidRDefault="001720D9" w:rsidP="002E14C6">
            <w:pPr>
              <w:rPr>
                <w:sz w:val="22"/>
                <w:szCs w:val="22"/>
              </w:rPr>
            </w:pPr>
            <w:r w:rsidRPr="0029403D">
              <w:rPr>
                <w:sz w:val="22"/>
                <w:szCs w:val="22"/>
              </w:rPr>
              <w:t>Физическая культура и спорт</w:t>
            </w:r>
          </w:p>
        </w:tc>
        <w:tc>
          <w:tcPr>
            <w:tcW w:w="850" w:type="dxa"/>
            <w:vAlign w:val="center"/>
          </w:tcPr>
          <w:p w:rsidR="001720D9" w:rsidRPr="0029403D" w:rsidRDefault="001720D9" w:rsidP="00E95681">
            <w:pPr>
              <w:jc w:val="center"/>
              <w:rPr>
                <w:sz w:val="22"/>
                <w:szCs w:val="22"/>
              </w:rPr>
            </w:pPr>
            <w:r>
              <w:rPr>
                <w:sz w:val="22"/>
                <w:szCs w:val="22"/>
              </w:rPr>
              <w:t>5,0</w:t>
            </w:r>
          </w:p>
        </w:tc>
        <w:tc>
          <w:tcPr>
            <w:tcW w:w="850" w:type="dxa"/>
            <w:vAlign w:val="center"/>
          </w:tcPr>
          <w:p w:rsidR="001720D9" w:rsidRPr="0029403D" w:rsidRDefault="001720D9" w:rsidP="00E95681">
            <w:pPr>
              <w:jc w:val="center"/>
              <w:rPr>
                <w:sz w:val="22"/>
                <w:szCs w:val="22"/>
              </w:rPr>
            </w:pPr>
            <w:r>
              <w:rPr>
                <w:sz w:val="22"/>
                <w:szCs w:val="22"/>
              </w:rPr>
              <w:t>3,0</w:t>
            </w:r>
          </w:p>
        </w:tc>
        <w:tc>
          <w:tcPr>
            <w:tcW w:w="850" w:type="dxa"/>
            <w:vAlign w:val="center"/>
          </w:tcPr>
          <w:p w:rsidR="001720D9" w:rsidRPr="0029403D" w:rsidRDefault="001720D9" w:rsidP="002E14C6">
            <w:pPr>
              <w:jc w:val="center"/>
              <w:rPr>
                <w:sz w:val="22"/>
                <w:szCs w:val="22"/>
              </w:rPr>
            </w:pPr>
            <w:r>
              <w:rPr>
                <w:sz w:val="22"/>
                <w:szCs w:val="22"/>
              </w:rPr>
              <w:t>2,1</w:t>
            </w:r>
          </w:p>
        </w:tc>
        <w:tc>
          <w:tcPr>
            <w:tcW w:w="794" w:type="dxa"/>
            <w:vAlign w:val="center"/>
          </w:tcPr>
          <w:p w:rsidR="001720D9" w:rsidRPr="0029403D" w:rsidRDefault="001720D9" w:rsidP="00E95681">
            <w:pPr>
              <w:jc w:val="center"/>
              <w:rPr>
                <w:sz w:val="22"/>
                <w:szCs w:val="22"/>
              </w:rPr>
            </w:pPr>
            <w:r>
              <w:rPr>
                <w:sz w:val="22"/>
                <w:szCs w:val="22"/>
              </w:rPr>
              <w:t>0,1%</w:t>
            </w:r>
          </w:p>
        </w:tc>
        <w:tc>
          <w:tcPr>
            <w:tcW w:w="794" w:type="dxa"/>
            <w:vAlign w:val="center"/>
          </w:tcPr>
          <w:p w:rsidR="001720D9" w:rsidRPr="0029403D" w:rsidRDefault="001720D9" w:rsidP="00E95681">
            <w:pPr>
              <w:jc w:val="center"/>
              <w:rPr>
                <w:sz w:val="22"/>
                <w:szCs w:val="22"/>
              </w:rPr>
            </w:pPr>
            <w:r>
              <w:rPr>
                <w:sz w:val="22"/>
                <w:szCs w:val="22"/>
              </w:rPr>
              <w:t>0,0%</w:t>
            </w:r>
          </w:p>
        </w:tc>
        <w:tc>
          <w:tcPr>
            <w:tcW w:w="794" w:type="dxa"/>
            <w:vAlign w:val="center"/>
          </w:tcPr>
          <w:p w:rsidR="001720D9" w:rsidRPr="0029403D" w:rsidRDefault="001720D9" w:rsidP="002E14C6">
            <w:pPr>
              <w:jc w:val="center"/>
              <w:rPr>
                <w:sz w:val="22"/>
                <w:szCs w:val="22"/>
              </w:rPr>
            </w:pPr>
            <w:r>
              <w:rPr>
                <w:sz w:val="22"/>
                <w:szCs w:val="22"/>
              </w:rPr>
              <w:t>0,0%</w:t>
            </w:r>
          </w:p>
        </w:tc>
        <w:tc>
          <w:tcPr>
            <w:tcW w:w="1191" w:type="dxa"/>
            <w:vAlign w:val="center"/>
          </w:tcPr>
          <w:p w:rsidR="001720D9" w:rsidRDefault="001720D9" w:rsidP="00E95681">
            <w:pPr>
              <w:jc w:val="center"/>
              <w:rPr>
                <w:sz w:val="22"/>
                <w:szCs w:val="22"/>
              </w:rPr>
            </w:pPr>
            <w:r>
              <w:rPr>
                <w:sz w:val="22"/>
                <w:szCs w:val="22"/>
              </w:rPr>
              <w:t xml:space="preserve">-2,0 / </w:t>
            </w:r>
          </w:p>
          <w:p w:rsidR="001720D9" w:rsidRPr="0029403D" w:rsidRDefault="001720D9" w:rsidP="00E95681">
            <w:pPr>
              <w:jc w:val="center"/>
              <w:rPr>
                <w:sz w:val="22"/>
                <w:szCs w:val="22"/>
              </w:rPr>
            </w:pPr>
            <w:r>
              <w:rPr>
                <w:sz w:val="22"/>
                <w:szCs w:val="22"/>
              </w:rPr>
              <w:t>-40,0%</w:t>
            </w:r>
          </w:p>
        </w:tc>
        <w:tc>
          <w:tcPr>
            <w:tcW w:w="1191" w:type="dxa"/>
            <w:vAlign w:val="center"/>
          </w:tcPr>
          <w:p w:rsidR="001720D9" w:rsidRDefault="001720D9" w:rsidP="002E14C6">
            <w:pPr>
              <w:jc w:val="center"/>
              <w:rPr>
                <w:sz w:val="22"/>
                <w:szCs w:val="22"/>
              </w:rPr>
            </w:pPr>
            <w:r>
              <w:rPr>
                <w:sz w:val="22"/>
                <w:szCs w:val="22"/>
              </w:rPr>
              <w:t xml:space="preserve">-0,9 / </w:t>
            </w:r>
          </w:p>
          <w:p w:rsidR="001720D9" w:rsidRPr="0029403D" w:rsidRDefault="001720D9" w:rsidP="001720D9">
            <w:pPr>
              <w:jc w:val="center"/>
              <w:rPr>
                <w:sz w:val="22"/>
                <w:szCs w:val="22"/>
              </w:rPr>
            </w:pPr>
            <w:r>
              <w:rPr>
                <w:sz w:val="22"/>
                <w:szCs w:val="22"/>
              </w:rPr>
              <w:t>-30,0%</w:t>
            </w:r>
          </w:p>
        </w:tc>
      </w:tr>
      <w:tr w:rsidR="001720D9" w:rsidRPr="0029403D" w:rsidTr="004B6B0C">
        <w:tc>
          <w:tcPr>
            <w:tcW w:w="2438" w:type="dxa"/>
          </w:tcPr>
          <w:p w:rsidR="001720D9" w:rsidRPr="0029403D" w:rsidRDefault="001720D9" w:rsidP="004B6B0C">
            <w:pPr>
              <w:spacing w:before="120"/>
              <w:rPr>
                <w:b/>
                <w:sz w:val="22"/>
                <w:szCs w:val="22"/>
              </w:rPr>
            </w:pPr>
            <w:r w:rsidRPr="0029403D">
              <w:rPr>
                <w:b/>
                <w:sz w:val="22"/>
                <w:szCs w:val="22"/>
              </w:rPr>
              <w:t>Итого расходов</w:t>
            </w:r>
          </w:p>
        </w:tc>
        <w:tc>
          <w:tcPr>
            <w:tcW w:w="850" w:type="dxa"/>
            <w:vAlign w:val="center"/>
          </w:tcPr>
          <w:p w:rsidR="001720D9" w:rsidRPr="0029403D" w:rsidRDefault="001720D9" w:rsidP="00E95681">
            <w:pPr>
              <w:jc w:val="center"/>
              <w:rPr>
                <w:b/>
                <w:sz w:val="22"/>
                <w:szCs w:val="22"/>
              </w:rPr>
            </w:pPr>
            <w:r>
              <w:rPr>
                <w:b/>
                <w:sz w:val="22"/>
                <w:szCs w:val="22"/>
              </w:rPr>
              <w:t>6385,7</w:t>
            </w:r>
          </w:p>
        </w:tc>
        <w:tc>
          <w:tcPr>
            <w:tcW w:w="850" w:type="dxa"/>
            <w:vAlign w:val="center"/>
          </w:tcPr>
          <w:p w:rsidR="001720D9" w:rsidRPr="0029403D" w:rsidRDefault="001720D9" w:rsidP="00E95681">
            <w:pPr>
              <w:jc w:val="center"/>
              <w:rPr>
                <w:b/>
                <w:sz w:val="22"/>
                <w:szCs w:val="22"/>
              </w:rPr>
            </w:pPr>
            <w:r>
              <w:rPr>
                <w:b/>
                <w:sz w:val="22"/>
                <w:szCs w:val="22"/>
              </w:rPr>
              <w:t>7872,5</w:t>
            </w:r>
          </w:p>
        </w:tc>
        <w:tc>
          <w:tcPr>
            <w:tcW w:w="850" w:type="dxa"/>
            <w:vAlign w:val="center"/>
          </w:tcPr>
          <w:p w:rsidR="001720D9" w:rsidRPr="0029403D" w:rsidRDefault="001720D9" w:rsidP="002E14C6">
            <w:pPr>
              <w:jc w:val="center"/>
              <w:rPr>
                <w:b/>
                <w:sz w:val="22"/>
                <w:szCs w:val="22"/>
              </w:rPr>
            </w:pPr>
            <w:r>
              <w:rPr>
                <w:b/>
                <w:sz w:val="22"/>
                <w:szCs w:val="22"/>
              </w:rPr>
              <w:t>7842,5</w:t>
            </w:r>
          </w:p>
        </w:tc>
        <w:tc>
          <w:tcPr>
            <w:tcW w:w="794" w:type="dxa"/>
            <w:vAlign w:val="center"/>
          </w:tcPr>
          <w:p w:rsidR="001720D9" w:rsidRPr="0029403D" w:rsidRDefault="001720D9" w:rsidP="0033234C">
            <w:pPr>
              <w:jc w:val="center"/>
              <w:rPr>
                <w:b/>
                <w:sz w:val="22"/>
                <w:szCs w:val="22"/>
              </w:rPr>
            </w:pPr>
            <w:r w:rsidRPr="0029403D">
              <w:rPr>
                <w:b/>
                <w:sz w:val="22"/>
                <w:szCs w:val="22"/>
              </w:rPr>
              <w:t>100%</w:t>
            </w:r>
          </w:p>
        </w:tc>
        <w:tc>
          <w:tcPr>
            <w:tcW w:w="794" w:type="dxa"/>
            <w:vAlign w:val="center"/>
          </w:tcPr>
          <w:p w:rsidR="001720D9" w:rsidRPr="0029403D" w:rsidRDefault="001720D9" w:rsidP="0033234C">
            <w:pPr>
              <w:jc w:val="center"/>
              <w:rPr>
                <w:b/>
                <w:sz w:val="22"/>
                <w:szCs w:val="22"/>
              </w:rPr>
            </w:pPr>
            <w:r w:rsidRPr="0029403D">
              <w:rPr>
                <w:b/>
                <w:sz w:val="22"/>
                <w:szCs w:val="22"/>
              </w:rPr>
              <w:t>100%</w:t>
            </w:r>
          </w:p>
        </w:tc>
        <w:tc>
          <w:tcPr>
            <w:tcW w:w="794" w:type="dxa"/>
            <w:vAlign w:val="center"/>
          </w:tcPr>
          <w:p w:rsidR="001720D9" w:rsidRPr="0029403D" w:rsidRDefault="001720D9" w:rsidP="002E14C6">
            <w:pPr>
              <w:jc w:val="center"/>
              <w:rPr>
                <w:b/>
                <w:sz w:val="22"/>
                <w:szCs w:val="22"/>
              </w:rPr>
            </w:pPr>
            <w:r w:rsidRPr="0029403D">
              <w:rPr>
                <w:b/>
                <w:sz w:val="22"/>
                <w:szCs w:val="22"/>
              </w:rPr>
              <w:t>100%</w:t>
            </w:r>
          </w:p>
        </w:tc>
        <w:tc>
          <w:tcPr>
            <w:tcW w:w="1191" w:type="dxa"/>
            <w:vAlign w:val="center"/>
          </w:tcPr>
          <w:p w:rsidR="001720D9" w:rsidRPr="0029403D" w:rsidRDefault="001720D9" w:rsidP="00E95681">
            <w:pPr>
              <w:jc w:val="center"/>
              <w:rPr>
                <w:b/>
                <w:sz w:val="22"/>
                <w:szCs w:val="22"/>
              </w:rPr>
            </w:pPr>
            <w:r>
              <w:rPr>
                <w:b/>
                <w:sz w:val="22"/>
                <w:szCs w:val="22"/>
              </w:rPr>
              <w:t>1486,8 / 23,3%</w:t>
            </w:r>
          </w:p>
        </w:tc>
        <w:tc>
          <w:tcPr>
            <w:tcW w:w="1191" w:type="dxa"/>
            <w:vAlign w:val="center"/>
          </w:tcPr>
          <w:p w:rsidR="001720D9" w:rsidRDefault="001720D9" w:rsidP="001720D9">
            <w:pPr>
              <w:jc w:val="center"/>
              <w:rPr>
                <w:b/>
                <w:sz w:val="22"/>
                <w:szCs w:val="22"/>
              </w:rPr>
            </w:pPr>
            <w:r>
              <w:rPr>
                <w:b/>
                <w:sz w:val="22"/>
                <w:szCs w:val="22"/>
              </w:rPr>
              <w:t xml:space="preserve">-30,0 / </w:t>
            </w:r>
          </w:p>
          <w:p w:rsidR="001720D9" w:rsidRPr="0029403D" w:rsidRDefault="001720D9" w:rsidP="001720D9">
            <w:pPr>
              <w:jc w:val="center"/>
              <w:rPr>
                <w:b/>
                <w:sz w:val="22"/>
                <w:szCs w:val="22"/>
              </w:rPr>
            </w:pPr>
            <w:r>
              <w:rPr>
                <w:b/>
                <w:sz w:val="22"/>
                <w:szCs w:val="22"/>
              </w:rPr>
              <w:t>-0,4%</w:t>
            </w:r>
          </w:p>
        </w:tc>
      </w:tr>
    </w:tbl>
    <w:p w:rsidR="004A13B7" w:rsidRPr="0029403D" w:rsidRDefault="004A13B7" w:rsidP="00CE015D">
      <w:pPr>
        <w:spacing w:before="120"/>
        <w:ind w:firstLine="567"/>
        <w:jc w:val="both"/>
      </w:pPr>
      <w:r w:rsidRPr="0029403D">
        <w:rPr>
          <w:b/>
        </w:rPr>
        <w:t xml:space="preserve">По разделу 01 «Общегосударственные вопросы» </w:t>
      </w:r>
      <w:r w:rsidRPr="0029403D">
        <w:t xml:space="preserve">расходы в </w:t>
      </w:r>
      <w:r w:rsidR="00E5742F">
        <w:t>2015</w:t>
      </w:r>
      <w:r w:rsidRPr="0029403D">
        <w:t xml:space="preserve"> году </w:t>
      </w:r>
      <w:r w:rsidR="002D3343" w:rsidRPr="0029403D">
        <w:t>исполнены</w:t>
      </w:r>
      <w:r w:rsidRPr="0029403D">
        <w:t xml:space="preserve"> в объёме </w:t>
      </w:r>
      <w:r w:rsidR="005C73B1">
        <w:t>1846,7</w:t>
      </w:r>
      <w:r w:rsidR="000C4655">
        <w:t xml:space="preserve"> </w:t>
      </w:r>
      <w:r w:rsidRPr="0029403D">
        <w:t>тыс. руб.</w:t>
      </w:r>
      <w:r w:rsidR="00A915EB" w:rsidRPr="0029403D">
        <w:t xml:space="preserve"> или </w:t>
      </w:r>
      <w:r w:rsidR="005C73B1">
        <w:t>100,0</w:t>
      </w:r>
      <w:r w:rsidR="00A915EB" w:rsidRPr="0029403D">
        <w:t>%</w:t>
      </w:r>
      <w:r w:rsidR="00695ACA" w:rsidRPr="0029403D">
        <w:t xml:space="preserve"> к плану</w:t>
      </w:r>
      <w:r w:rsidRPr="0029403D">
        <w:t>.</w:t>
      </w:r>
      <w:r w:rsidR="002619DE" w:rsidRPr="0029403D">
        <w:t xml:space="preserve"> Удельный вес раздела в расходах бюджета с</w:t>
      </w:r>
      <w:r w:rsidR="002619DE" w:rsidRPr="0029403D">
        <w:t>о</w:t>
      </w:r>
      <w:r w:rsidR="002619DE" w:rsidRPr="0029403D">
        <w:t xml:space="preserve">ставил </w:t>
      </w:r>
      <w:r w:rsidR="00E95681">
        <w:t>23,5</w:t>
      </w:r>
      <w:r w:rsidR="002619DE" w:rsidRPr="0029403D">
        <w:t>%.</w:t>
      </w:r>
    </w:p>
    <w:p w:rsidR="004A13B7" w:rsidRDefault="004A13B7" w:rsidP="000875CF">
      <w:pPr>
        <w:spacing w:before="40"/>
        <w:ind w:firstLine="567"/>
        <w:jc w:val="both"/>
      </w:pPr>
      <w:r w:rsidRPr="0029403D">
        <w:t xml:space="preserve">При анализе </w:t>
      </w:r>
      <w:r w:rsidR="003744B4" w:rsidRPr="0029403D">
        <w:t xml:space="preserve">исполнения местного бюджета за </w:t>
      </w:r>
      <w:r w:rsidR="00E5742F">
        <w:t>2015</w:t>
      </w:r>
      <w:r w:rsidR="003744B4" w:rsidRPr="0029403D">
        <w:t xml:space="preserve"> год</w:t>
      </w:r>
      <w:r w:rsidRPr="0029403D">
        <w:t xml:space="preserve"> установлено, что расходы на содержание главы муниципального образования в объёме </w:t>
      </w:r>
      <w:r w:rsidR="00E95681">
        <w:t>535,0</w:t>
      </w:r>
      <w:r w:rsidRPr="0029403D">
        <w:t xml:space="preserve"> тыс. руб. </w:t>
      </w:r>
      <w:r w:rsidR="00E95681">
        <w:t xml:space="preserve">не </w:t>
      </w:r>
      <w:r w:rsidRPr="0029403D">
        <w:t>соответствуют нормативу</w:t>
      </w:r>
      <w:r w:rsidR="00E95681">
        <w:t xml:space="preserve"> в размере 464,3 тыс. руб.</w:t>
      </w:r>
      <w:r w:rsidRPr="0029403D">
        <w:t>, установленному постановлением администрации Нов</w:t>
      </w:r>
      <w:r w:rsidRPr="0029403D">
        <w:t>о</w:t>
      </w:r>
      <w:r w:rsidRPr="0029403D">
        <w:t>сибирской области от 28.12.2007 № 206-</w:t>
      </w:r>
      <w:r w:rsidR="00AA4105">
        <w:t>п.</w:t>
      </w:r>
      <w:r w:rsidR="00E95681">
        <w:t xml:space="preserve"> </w:t>
      </w:r>
      <w:proofErr w:type="gramStart"/>
      <w:r w:rsidR="00E95681">
        <w:t xml:space="preserve">Превышение составляет 70,7 тыс. руб. Согласно пояснительной записке превышение обусловлено </w:t>
      </w:r>
      <w:r w:rsidR="009D5E76">
        <w:t>избранием нового главы поселения и око</w:t>
      </w:r>
      <w:r w:rsidR="009D5E76">
        <w:t>н</w:t>
      </w:r>
      <w:r w:rsidR="009D5E76">
        <w:t>чательным расчётом с бывшим главой поселения.</w:t>
      </w:r>
      <w:proofErr w:type="gramEnd"/>
    </w:p>
    <w:p w:rsidR="00BC7403" w:rsidRPr="00E50D4D" w:rsidRDefault="00BC7403" w:rsidP="00BC7403">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7D5117" w:rsidRPr="00E50D4D" w:rsidRDefault="007D5117" w:rsidP="007D5117">
      <w:pPr>
        <w:spacing w:before="40"/>
        <w:ind w:firstLine="567"/>
        <w:jc w:val="both"/>
      </w:pPr>
      <w:proofErr w:type="gramStart"/>
      <w:r>
        <w:t xml:space="preserve">Фактические расходы составляют </w:t>
      </w:r>
      <w:r w:rsidR="009D5E76">
        <w:t>1121,9</w:t>
      </w:r>
      <w:r>
        <w:t xml:space="preserve">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sidR="00C86B9B">
        <w:rPr>
          <w:spacing w:val="-2"/>
        </w:rPr>
        <w:t>138,8</w:t>
      </w:r>
      <w:r w:rsidRPr="00E50D4D">
        <w:rPr>
          <w:spacing w:val="-2"/>
        </w:rPr>
        <w:t xml:space="preserve"> тыс. руб.</w:t>
      </w:r>
      <w:r>
        <w:rPr>
          <w:spacing w:val="-2"/>
        </w:rPr>
        <w:t xml:space="preserve">, а также расходы, связанные с передачей полномочий муниципальному району, в сумме </w:t>
      </w:r>
      <w:r w:rsidR="00C86B9B">
        <w:rPr>
          <w:spacing w:val="-2"/>
        </w:rPr>
        <w:t>25,3</w:t>
      </w:r>
      <w:r>
        <w:rPr>
          <w:spacing w:val="-2"/>
        </w:rPr>
        <w:t xml:space="preserve"> тыс. руб.</w:t>
      </w:r>
      <w:r w:rsidRPr="00E50D4D">
        <w:rPr>
          <w:spacing w:val="-2"/>
        </w:rPr>
        <w:t xml:space="preserve"> </w:t>
      </w:r>
      <w:r w:rsidRPr="00E50D4D">
        <w:t xml:space="preserve">Норматив – </w:t>
      </w:r>
      <w:r w:rsidR="00C86B9B">
        <w:t>867,4</w:t>
      </w:r>
      <w:r w:rsidRPr="00E50D4D">
        <w:t xml:space="preserve"> тыс. руб. (</w:t>
      </w:r>
      <w:r w:rsidR="00C86B9B">
        <w:t>339</w:t>
      </w:r>
      <w:r w:rsidRPr="00E50D4D">
        <w:t xml:space="preserve"> человек * </w:t>
      </w:r>
      <w:r>
        <w:t>2558,7</w:t>
      </w:r>
      <w:r w:rsidRPr="00E50D4D">
        <w:t xml:space="preserve"> руб.).</w:t>
      </w:r>
      <w:proofErr w:type="gramEnd"/>
      <w:r w:rsidRPr="00290054">
        <w:rPr>
          <w:spacing w:val="-2"/>
        </w:rPr>
        <w:t xml:space="preserve"> </w:t>
      </w:r>
      <w:r>
        <w:rPr>
          <w:spacing w:val="-2"/>
        </w:rPr>
        <w:t xml:space="preserve">Значит, </w:t>
      </w:r>
      <w:r w:rsidR="00C86B9B">
        <w:t>1121,9</w:t>
      </w:r>
      <w:r w:rsidR="00852C7D">
        <w:t xml:space="preserve"> </w:t>
      </w:r>
      <w:r>
        <w:rPr>
          <w:spacing w:val="-2"/>
        </w:rPr>
        <w:t>-</w:t>
      </w:r>
      <w:r w:rsidR="00852C7D">
        <w:rPr>
          <w:spacing w:val="-2"/>
        </w:rPr>
        <w:t xml:space="preserve"> </w:t>
      </w:r>
      <w:r w:rsidR="00C86B9B">
        <w:rPr>
          <w:spacing w:val="-2"/>
        </w:rPr>
        <w:t>867,4</w:t>
      </w:r>
      <w:r w:rsidR="00852C7D">
        <w:rPr>
          <w:spacing w:val="-2"/>
        </w:rPr>
        <w:t xml:space="preserve"> </w:t>
      </w:r>
      <w:r>
        <w:rPr>
          <w:spacing w:val="-2"/>
        </w:rPr>
        <w:t>-</w:t>
      </w:r>
      <w:r w:rsidR="00852C7D">
        <w:rPr>
          <w:spacing w:val="-2"/>
        </w:rPr>
        <w:t xml:space="preserve"> </w:t>
      </w:r>
      <w:r w:rsidR="00C86B9B">
        <w:rPr>
          <w:spacing w:val="-2"/>
        </w:rPr>
        <w:t>138,8</w:t>
      </w:r>
      <w:r w:rsidR="00852C7D">
        <w:rPr>
          <w:spacing w:val="-2"/>
        </w:rPr>
        <w:t xml:space="preserve"> </w:t>
      </w:r>
      <w:r>
        <w:rPr>
          <w:spacing w:val="-2"/>
        </w:rPr>
        <w:t>-</w:t>
      </w:r>
      <w:r w:rsidR="00C86B9B">
        <w:rPr>
          <w:spacing w:val="-2"/>
        </w:rPr>
        <w:t>25,3</w:t>
      </w:r>
      <w:r w:rsidR="00852C7D">
        <w:rPr>
          <w:spacing w:val="-2"/>
        </w:rPr>
        <w:t xml:space="preserve"> </w:t>
      </w:r>
      <w:r>
        <w:rPr>
          <w:spacing w:val="-2"/>
        </w:rPr>
        <w:t>=</w:t>
      </w:r>
      <w:r w:rsidR="00852C7D">
        <w:rPr>
          <w:spacing w:val="-2"/>
        </w:rPr>
        <w:t xml:space="preserve"> </w:t>
      </w:r>
      <w:r w:rsidR="00C86B9B">
        <w:rPr>
          <w:spacing w:val="-2"/>
        </w:rPr>
        <w:t>90,4</w:t>
      </w:r>
      <w:r>
        <w:rPr>
          <w:spacing w:val="-2"/>
        </w:rPr>
        <w:t xml:space="preserve"> тыс. руб. Следовательно, превышение норматива составляет </w:t>
      </w:r>
      <w:r w:rsidR="00B73809">
        <w:rPr>
          <w:spacing w:val="-2"/>
        </w:rPr>
        <w:t>90,4 тыс. руб. или 1</w:t>
      </w:r>
      <w:r>
        <w:rPr>
          <w:spacing w:val="-2"/>
        </w:rPr>
        <w:t xml:space="preserve">0,4%. </w:t>
      </w:r>
      <w:r w:rsidRPr="00476024">
        <w:rPr>
          <w:b/>
          <w:i/>
          <w:spacing w:val="-2"/>
        </w:rPr>
        <w:t>Тем самым нарушен пункт 2 статьи 136 БК РФ.</w:t>
      </w:r>
    </w:p>
    <w:p w:rsidR="002E0657" w:rsidRPr="007D717C" w:rsidRDefault="00F1750B" w:rsidP="002E0657">
      <w:pPr>
        <w:spacing w:before="40"/>
        <w:ind w:firstLine="567"/>
        <w:jc w:val="both"/>
        <w:rPr>
          <w:i/>
          <w:spacing w:val="-2"/>
          <w:sz w:val="20"/>
          <w:szCs w:val="20"/>
        </w:rPr>
      </w:pPr>
      <w:r w:rsidRPr="007D717C">
        <w:rPr>
          <w:i/>
          <w:color w:val="000000"/>
          <w:spacing w:val="-2"/>
          <w:sz w:val="20"/>
          <w:szCs w:val="20"/>
        </w:rPr>
        <w:t xml:space="preserve">Для расчёта норматива использована численность населения </w:t>
      </w:r>
      <w:r w:rsidR="006F3CF8" w:rsidRPr="007D717C">
        <w:rPr>
          <w:i/>
          <w:color w:val="000000"/>
          <w:spacing w:val="-2"/>
          <w:sz w:val="20"/>
          <w:szCs w:val="20"/>
        </w:rPr>
        <w:t xml:space="preserve">по данным органа статистики на </w:t>
      </w:r>
      <w:r w:rsidRPr="007D717C">
        <w:rPr>
          <w:i/>
          <w:color w:val="000000"/>
          <w:spacing w:val="-2"/>
          <w:sz w:val="20"/>
          <w:szCs w:val="20"/>
        </w:rPr>
        <w:t>01.01.</w:t>
      </w:r>
      <w:r w:rsidR="00E5742F">
        <w:rPr>
          <w:i/>
          <w:color w:val="000000"/>
          <w:spacing w:val="-2"/>
          <w:sz w:val="20"/>
          <w:szCs w:val="20"/>
        </w:rPr>
        <w:t>2015</w:t>
      </w:r>
      <w:r w:rsidRPr="007D717C">
        <w:rPr>
          <w:i/>
          <w:color w:val="000000"/>
          <w:spacing w:val="-2"/>
          <w:sz w:val="20"/>
          <w:szCs w:val="20"/>
        </w:rPr>
        <w:t xml:space="preserve"> – </w:t>
      </w:r>
      <w:r w:rsidR="00C86B9B">
        <w:rPr>
          <w:i/>
          <w:color w:val="000000"/>
          <w:spacing w:val="-2"/>
          <w:sz w:val="20"/>
          <w:szCs w:val="20"/>
        </w:rPr>
        <w:t>339</w:t>
      </w:r>
      <w:r w:rsidRPr="007D717C">
        <w:rPr>
          <w:i/>
          <w:color w:val="000000"/>
          <w:spacing w:val="-2"/>
          <w:sz w:val="20"/>
          <w:szCs w:val="20"/>
        </w:rPr>
        <w:t xml:space="preserve"> человек</w:t>
      </w:r>
      <w:r w:rsidR="002E0657" w:rsidRPr="007D717C">
        <w:rPr>
          <w:i/>
          <w:color w:val="000000"/>
          <w:spacing w:val="-2"/>
          <w:sz w:val="20"/>
          <w:szCs w:val="20"/>
        </w:rPr>
        <w:t xml:space="preserve"> согласно</w:t>
      </w:r>
      <w:r w:rsidR="002E0657" w:rsidRPr="007D717C">
        <w:rPr>
          <w:i/>
          <w:spacing w:val="-2"/>
          <w:sz w:val="20"/>
          <w:szCs w:val="20"/>
        </w:rPr>
        <w:t xml:space="preserve"> постановлению администрации Новосибирской области от 28.12.2007 № 206-па.</w:t>
      </w:r>
    </w:p>
    <w:p w:rsidR="004A13B7" w:rsidRPr="0029403D" w:rsidRDefault="004A13B7" w:rsidP="00806252">
      <w:pPr>
        <w:spacing w:before="60"/>
        <w:ind w:firstLine="567"/>
        <w:jc w:val="both"/>
      </w:pPr>
      <w:r w:rsidRPr="0029403D">
        <w:rPr>
          <w:b/>
        </w:rPr>
        <w:t xml:space="preserve">По разделу 02 «Национальная оборона» </w:t>
      </w:r>
      <w:r w:rsidR="00C800CC" w:rsidRPr="0029403D">
        <w:t xml:space="preserve">расходы в </w:t>
      </w:r>
      <w:r w:rsidR="00E5742F">
        <w:t>2015</w:t>
      </w:r>
      <w:r w:rsidR="00C800CC" w:rsidRPr="0029403D">
        <w:t xml:space="preserve"> году исполнены в объёме </w:t>
      </w:r>
      <w:r w:rsidR="00B73809">
        <w:t>77,4</w:t>
      </w:r>
      <w:r w:rsidR="00C800CC" w:rsidRPr="0029403D">
        <w:t> тыс. руб. или 100% к плану.</w:t>
      </w:r>
      <w:r w:rsidR="00F34DB4" w:rsidRPr="0029403D">
        <w:t xml:space="preserve"> Удельный вес разде</w:t>
      </w:r>
      <w:r w:rsidR="00D41CF5">
        <w:t>ла</w:t>
      </w:r>
      <w:r w:rsidR="004C63CF">
        <w:t xml:space="preserve"> в расходах бюджета составил </w:t>
      </w:r>
      <w:r w:rsidR="00B73809">
        <w:t>1,0</w:t>
      </w:r>
      <w:r w:rsidR="00F34DB4" w:rsidRPr="0029403D">
        <w:t>%.</w:t>
      </w:r>
    </w:p>
    <w:p w:rsidR="00104D65" w:rsidRDefault="00104D65" w:rsidP="00806252">
      <w:pPr>
        <w:spacing w:before="6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E5742F">
        <w:t>2015</w:t>
      </w:r>
      <w:r w:rsidRPr="0029403D">
        <w:t xml:space="preserve"> году исполнены в объёме </w:t>
      </w:r>
      <w:r w:rsidR="00B73809">
        <w:t>936,7</w:t>
      </w:r>
      <w:r w:rsidRPr="0029403D">
        <w:t xml:space="preserve"> тыс. руб. или </w:t>
      </w:r>
      <w:r w:rsidR="00B73809">
        <w:t>99,7</w:t>
      </w:r>
      <w:r w:rsidRPr="0029403D">
        <w:t>% к плану</w:t>
      </w:r>
      <w:r w:rsidR="0028377B">
        <w:t xml:space="preserve"> </w:t>
      </w:r>
      <w:r w:rsidR="0028377B" w:rsidRPr="0029403D">
        <w:t>(</w:t>
      </w:r>
      <w:r w:rsidR="00D01A8F">
        <w:t>недоисполнение</w:t>
      </w:r>
      <w:r w:rsidR="0028377B" w:rsidRPr="0029403D">
        <w:t xml:space="preserve"> – </w:t>
      </w:r>
      <w:r w:rsidR="00B73809">
        <w:t>2,8</w:t>
      </w:r>
      <w:r w:rsidR="0028377B" w:rsidRPr="0029403D">
        <w:t xml:space="preserve"> тыс. руб.)</w:t>
      </w:r>
      <w:r w:rsidRPr="0029403D">
        <w:t xml:space="preserve">. Удельный вес раздела в расходах бюджета составил </w:t>
      </w:r>
      <w:r w:rsidR="00B73809">
        <w:t>11,9</w:t>
      </w:r>
      <w:r w:rsidRPr="0029403D">
        <w:t>%.</w:t>
      </w:r>
      <w:r w:rsidR="00F75005">
        <w:t xml:space="preserve"> </w:t>
      </w:r>
    </w:p>
    <w:p w:rsidR="004C63CF" w:rsidRDefault="004C63CF" w:rsidP="00806252">
      <w:pPr>
        <w:spacing w:before="60"/>
        <w:ind w:firstLine="567"/>
        <w:jc w:val="both"/>
      </w:pPr>
      <w:r w:rsidRPr="0029403D">
        <w:rPr>
          <w:b/>
        </w:rPr>
        <w:t>По разделу 0</w:t>
      </w:r>
      <w:r>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E5742F">
        <w:t>2015</w:t>
      </w:r>
      <w:r w:rsidRPr="0029403D">
        <w:t xml:space="preserve"> году исполнены в объёме </w:t>
      </w:r>
      <w:r w:rsidR="00B73809">
        <w:t>140,8</w:t>
      </w:r>
      <w:r w:rsidRPr="0029403D">
        <w:t xml:space="preserve"> тыс. руб. или </w:t>
      </w:r>
      <w:r w:rsidR="00B73809">
        <w:t>55,4</w:t>
      </w:r>
      <w:r w:rsidRPr="0029403D">
        <w:t>% к плану</w:t>
      </w:r>
      <w:r>
        <w:t xml:space="preserve"> </w:t>
      </w:r>
      <w:r w:rsidRPr="0029403D">
        <w:t>(</w:t>
      </w:r>
      <w:r>
        <w:t>недоисполнение</w:t>
      </w:r>
      <w:r w:rsidRPr="0029403D">
        <w:t xml:space="preserve"> – </w:t>
      </w:r>
      <w:r w:rsidR="00B73809">
        <w:t>113,4</w:t>
      </w:r>
      <w:r w:rsidRPr="0029403D">
        <w:t xml:space="preserve"> тыс. руб.). Удельный вес раздела в расходах бюджета составил </w:t>
      </w:r>
      <w:r w:rsidR="00B73809">
        <w:t>1,8</w:t>
      </w:r>
      <w:r w:rsidRPr="0029403D">
        <w:t>%.</w:t>
      </w:r>
      <w:r>
        <w:t xml:space="preserve"> </w:t>
      </w:r>
      <w:r w:rsidR="00CE015D">
        <w:t xml:space="preserve">Согласно пояснительной записке </w:t>
      </w:r>
      <w:r w:rsidR="000115C2">
        <w:t>недоисполнение связ</w:t>
      </w:r>
      <w:r w:rsidR="000115C2">
        <w:t>а</w:t>
      </w:r>
      <w:r w:rsidR="000115C2">
        <w:lastRenderedPageBreak/>
        <w:t>но с о</w:t>
      </w:r>
      <w:r w:rsidR="000115C2" w:rsidRPr="000115C2">
        <w:t>плат</w:t>
      </w:r>
      <w:r w:rsidR="000115C2">
        <w:t>ой</w:t>
      </w:r>
      <w:r w:rsidR="000115C2" w:rsidRPr="000115C2">
        <w:t xml:space="preserve"> договорных обязательств по фактическим объемам выполненных работ (ок</w:t>
      </w:r>
      <w:r w:rsidR="000115C2" w:rsidRPr="000115C2">
        <w:t>а</w:t>
      </w:r>
      <w:r w:rsidR="000115C2" w:rsidRPr="000115C2">
        <w:t>занных услуг) на основании актов выполненных работ (оказанных услуг)</w:t>
      </w:r>
      <w:r w:rsidR="000115C2">
        <w:t>.</w:t>
      </w:r>
    </w:p>
    <w:p w:rsidR="000115C2" w:rsidRDefault="000115C2" w:rsidP="000115C2">
      <w:pPr>
        <w:spacing w:before="40"/>
        <w:ind w:firstLine="567"/>
        <w:jc w:val="both"/>
        <w:rPr>
          <w:i/>
          <w:spacing w:val="-4"/>
        </w:rPr>
      </w:pPr>
      <w:r w:rsidRPr="00691366">
        <w:rPr>
          <w:i/>
          <w:spacing w:val="-4"/>
        </w:rPr>
        <w:t>Ревизионная комиссия отмечает</w:t>
      </w:r>
      <w:r>
        <w:rPr>
          <w:i/>
          <w:spacing w:val="-4"/>
        </w:rPr>
        <w:t xml:space="preserve"> следующее:</w:t>
      </w:r>
    </w:p>
    <w:p w:rsidR="000115C2" w:rsidRPr="003A45E1" w:rsidRDefault="000115C2" w:rsidP="000115C2">
      <w:pPr>
        <w:spacing w:before="40"/>
        <w:ind w:firstLine="567"/>
        <w:jc w:val="both"/>
        <w:rPr>
          <w:i/>
        </w:rPr>
      </w:pPr>
      <w:proofErr w:type="gramStart"/>
      <w:r w:rsidRPr="00C821D9">
        <w:t>1) уточнённые бюджетные назна</w:t>
      </w:r>
      <w:r>
        <w:t>чения по разделу/подразделу 0409 «</w:t>
      </w:r>
      <w:r w:rsidRPr="00C821D9">
        <w:t>Дорожное хозя</w:t>
      </w:r>
      <w:r w:rsidRPr="00C821D9">
        <w:t>й</w:t>
      </w:r>
      <w:r w:rsidRPr="00C821D9">
        <w:t>ство (дорожные фонды)</w:t>
      </w:r>
      <w:r>
        <w:t xml:space="preserve">» составляют </w:t>
      </w:r>
      <w:r w:rsidR="00D93E86">
        <w:t>254,2</w:t>
      </w:r>
      <w:r>
        <w:t xml:space="preserve"> тыс. руб., что </w:t>
      </w:r>
      <w:r w:rsidR="00D93E86">
        <w:t>соответствует</w:t>
      </w:r>
      <w:r>
        <w:t xml:space="preserve"> </w:t>
      </w:r>
      <w:r w:rsidRPr="00C821D9">
        <w:t>уточнённы</w:t>
      </w:r>
      <w:r w:rsidR="00D93E86">
        <w:t>м</w:t>
      </w:r>
      <w:r w:rsidRPr="00C821D9">
        <w:t xml:space="preserve"> бю</w:t>
      </w:r>
      <w:r w:rsidRPr="00C821D9">
        <w:t>д</w:t>
      </w:r>
      <w:r w:rsidRPr="00C821D9">
        <w:t>жетны</w:t>
      </w:r>
      <w:r w:rsidR="00D93E86">
        <w:t>м</w:t>
      </w:r>
      <w:r w:rsidRPr="00C821D9">
        <w:t xml:space="preserve"> назна</w:t>
      </w:r>
      <w:r>
        <w:t>чени</w:t>
      </w:r>
      <w:r w:rsidR="00D93E86">
        <w:t>ям</w:t>
      </w:r>
      <w:r>
        <w:t xml:space="preserve"> по КБК </w:t>
      </w:r>
      <w:r w:rsidR="00D93E86">
        <w:t>301</w:t>
      </w:r>
      <w:r w:rsidRPr="00C821D9">
        <w:t xml:space="preserve"> 1 03 02000 01 0000 110</w:t>
      </w:r>
      <w:r>
        <w:t xml:space="preserve"> «</w:t>
      </w:r>
      <w:r w:rsidRPr="00C821D9">
        <w:t>Акцизы по подакцизным товарам (продукции), производимым на территории Российской Федерации</w:t>
      </w:r>
      <w:r>
        <w:t xml:space="preserve">» в сумме </w:t>
      </w:r>
      <w:r w:rsidR="00D93E86">
        <w:t>242,3</w:t>
      </w:r>
      <w:r>
        <w:t xml:space="preserve"> тыс. руб., </w:t>
      </w:r>
      <w:r w:rsidRPr="003A45E1">
        <w:rPr>
          <w:i/>
        </w:rPr>
        <w:t xml:space="preserve">тем самым </w:t>
      </w:r>
      <w:r w:rsidR="003A45E1">
        <w:rPr>
          <w:i/>
        </w:rPr>
        <w:t>соблюдается</w:t>
      </w:r>
      <w:r w:rsidRPr="003A45E1">
        <w:rPr>
          <w:i/>
        </w:rPr>
        <w:t xml:space="preserve"> пункт 5 статьи 179.4 БК РФ:</w:t>
      </w:r>
      <w:proofErr w:type="gramEnd"/>
    </w:p>
    <w:p w:rsidR="000115C2" w:rsidRPr="0067446F" w:rsidRDefault="000115C2" w:rsidP="000115C2">
      <w:pPr>
        <w:pStyle w:val="ConsPlusNormal"/>
        <w:spacing w:before="40"/>
        <w:ind w:firstLine="540"/>
        <w:jc w:val="both"/>
        <w:rPr>
          <w:rFonts w:ascii="Times New Roman" w:hAnsi="Times New Roman" w:cs="Times New Roman"/>
          <w:i/>
        </w:rPr>
      </w:pPr>
      <w:r>
        <w:rPr>
          <w:rFonts w:ascii="Times New Roman" w:hAnsi="Times New Roman" w:cs="Times New Roman"/>
          <w:i/>
        </w:rPr>
        <w:t>«</w:t>
      </w:r>
      <w:r w:rsidRPr="0067446F">
        <w:rPr>
          <w:rFonts w:ascii="Times New Roman" w:hAnsi="Times New Roman" w:cs="Times New Roman"/>
          <w:i/>
        </w:rPr>
        <w:t>Объем бюджетных ассигнований муниципального дорожного фонда утверждается решением о мес</w:t>
      </w:r>
      <w:r w:rsidRPr="0067446F">
        <w:rPr>
          <w:rFonts w:ascii="Times New Roman" w:hAnsi="Times New Roman" w:cs="Times New Roman"/>
          <w:i/>
        </w:rPr>
        <w:t>т</w:t>
      </w:r>
      <w:r w:rsidRPr="0067446F">
        <w:rPr>
          <w:rFonts w:ascii="Times New Roman" w:hAnsi="Times New Roman" w:cs="Times New Roman"/>
          <w:i/>
        </w:rPr>
        <w:t>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w:t>
      </w:r>
      <w:r w:rsidRPr="0067446F">
        <w:rPr>
          <w:rFonts w:ascii="Times New Roman" w:hAnsi="Times New Roman" w:cs="Times New Roman"/>
          <w:i/>
        </w:rPr>
        <w:t>а</w:t>
      </w:r>
      <w:r w:rsidRPr="0067446F">
        <w:rPr>
          <w:rFonts w:ascii="Times New Roman" w:hAnsi="Times New Roman" w:cs="Times New Roman"/>
          <w:i/>
        </w:rPr>
        <w:t xml:space="preserve">вительного органа муниципального образования, указанным в </w:t>
      </w:r>
      <w:hyperlink w:anchor="P4659" w:history="1">
        <w:r w:rsidRPr="0067446F">
          <w:rPr>
            <w:rFonts w:ascii="Times New Roman" w:hAnsi="Times New Roman" w:cs="Times New Roman"/>
            <w:i/>
            <w:color w:val="0000FF"/>
          </w:rPr>
          <w:t>абзаце первом</w:t>
        </w:r>
      </w:hyperlink>
      <w:r w:rsidRPr="0067446F">
        <w:rPr>
          <w:rFonts w:ascii="Times New Roman" w:hAnsi="Times New Roman" w:cs="Times New Roman"/>
          <w:i/>
        </w:rPr>
        <w:t xml:space="preserve"> настоящего пункта, </w:t>
      </w:r>
      <w:proofErr w:type="gramStart"/>
      <w:r w:rsidRPr="0067446F">
        <w:rPr>
          <w:rFonts w:ascii="Times New Roman" w:hAnsi="Times New Roman" w:cs="Times New Roman"/>
          <w:i/>
        </w:rPr>
        <w:t>от</w:t>
      </w:r>
      <w:proofErr w:type="gramEnd"/>
      <w:r w:rsidRPr="0067446F">
        <w:rPr>
          <w:rFonts w:ascii="Times New Roman" w:hAnsi="Times New Roman" w:cs="Times New Roman"/>
          <w:i/>
        </w:rPr>
        <w:t>:</w:t>
      </w:r>
    </w:p>
    <w:p w:rsidR="000115C2" w:rsidRPr="0067446F" w:rsidRDefault="000115C2" w:rsidP="000115C2">
      <w:pPr>
        <w:pStyle w:val="ConsPlusNormal"/>
        <w:spacing w:before="20"/>
        <w:ind w:firstLine="540"/>
        <w:jc w:val="both"/>
        <w:rPr>
          <w:rFonts w:ascii="Times New Roman" w:hAnsi="Times New Roman" w:cs="Times New Roman"/>
          <w:i/>
        </w:rPr>
      </w:pPr>
      <w:r w:rsidRPr="0067446F">
        <w:rPr>
          <w:rFonts w:ascii="Times New Roman" w:hAnsi="Times New Roman" w:cs="Times New Roman"/>
          <w:i/>
        </w:rPr>
        <w:t>акцизов на автомобильный бензин, прямогонный бензин, дизельное топливо, моторные масла для дизел</w:t>
      </w:r>
      <w:r w:rsidRPr="0067446F">
        <w:rPr>
          <w:rFonts w:ascii="Times New Roman" w:hAnsi="Times New Roman" w:cs="Times New Roman"/>
          <w:i/>
        </w:rPr>
        <w:t>ь</w:t>
      </w:r>
      <w:r w:rsidRPr="0067446F">
        <w:rPr>
          <w:rFonts w:ascii="Times New Roman" w:hAnsi="Times New Roman" w:cs="Times New Roman"/>
          <w:i/>
        </w:rPr>
        <w:t>ных и (или) карбюраторных (</w:t>
      </w:r>
      <w:proofErr w:type="spellStart"/>
      <w:r w:rsidRPr="0067446F">
        <w:rPr>
          <w:rFonts w:ascii="Times New Roman" w:hAnsi="Times New Roman" w:cs="Times New Roman"/>
          <w:i/>
        </w:rPr>
        <w:t>инжекторных</w:t>
      </w:r>
      <w:proofErr w:type="spellEnd"/>
      <w:r w:rsidRPr="0067446F">
        <w:rPr>
          <w:rFonts w:ascii="Times New Roman" w:hAnsi="Times New Roman" w:cs="Times New Roman"/>
          <w:i/>
        </w:rPr>
        <w:t>) двигателей, производимые на территории Российской Федерации, подлежащих зачислению в местный бюджет;</w:t>
      </w:r>
    </w:p>
    <w:p w:rsidR="000115C2" w:rsidRDefault="000115C2" w:rsidP="000115C2">
      <w:pPr>
        <w:spacing w:before="20"/>
        <w:ind w:firstLine="567"/>
        <w:jc w:val="both"/>
        <w:rPr>
          <w:i/>
          <w:sz w:val="20"/>
          <w:szCs w:val="20"/>
        </w:rPr>
      </w:pPr>
      <w:r w:rsidRPr="0067446F">
        <w:rPr>
          <w:i/>
          <w:sz w:val="20"/>
          <w:szCs w:val="20"/>
        </w:rPr>
        <w:t>иных поступлений в местный бюджет, утвержденных решением представительного органа муниц</w:t>
      </w:r>
      <w:r w:rsidRPr="0067446F">
        <w:rPr>
          <w:i/>
          <w:sz w:val="20"/>
          <w:szCs w:val="20"/>
        </w:rPr>
        <w:t>и</w:t>
      </w:r>
      <w:r w:rsidRPr="0067446F">
        <w:rPr>
          <w:i/>
          <w:sz w:val="20"/>
          <w:szCs w:val="20"/>
        </w:rPr>
        <w:t>пального образования, предусматривающим создание муниципального дорожного фонда</w:t>
      </w:r>
      <w:r>
        <w:rPr>
          <w:i/>
          <w:sz w:val="20"/>
          <w:szCs w:val="20"/>
        </w:rPr>
        <w:t>»</w:t>
      </w:r>
      <w:r w:rsidRPr="0067446F">
        <w:rPr>
          <w:i/>
          <w:sz w:val="20"/>
          <w:szCs w:val="20"/>
        </w:rPr>
        <w:t>.</w:t>
      </w:r>
    </w:p>
    <w:p w:rsidR="000115C2" w:rsidRDefault="000115C2" w:rsidP="000115C2">
      <w:pPr>
        <w:autoSpaceDE w:val="0"/>
        <w:autoSpaceDN w:val="0"/>
        <w:adjustRightInd w:val="0"/>
        <w:spacing w:before="40"/>
        <w:ind w:firstLine="540"/>
        <w:jc w:val="both"/>
        <w:rPr>
          <w:b/>
          <w:i/>
        </w:rPr>
      </w:pPr>
      <w:proofErr w:type="gramStart"/>
      <w:r>
        <w:t>2) исполнение по разделу/подразделу 0409 «</w:t>
      </w:r>
      <w:r w:rsidRPr="00C821D9">
        <w:t>Дорожное хозяйство (дорожные фонды)</w:t>
      </w:r>
      <w:r>
        <w:t xml:space="preserve">» составляет </w:t>
      </w:r>
      <w:r w:rsidR="00E80FA8">
        <w:t>140,8</w:t>
      </w:r>
      <w:r>
        <w:t xml:space="preserve"> тыс. руб., что меньше </w:t>
      </w:r>
      <w:r w:rsidRPr="00C821D9">
        <w:t>уточнённы</w:t>
      </w:r>
      <w:r>
        <w:t>х</w:t>
      </w:r>
      <w:r w:rsidRPr="00C821D9">
        <w:t xml:space="preserve"> бюджетны</w:t>
      </w:r>
      <w:r>
        <w:t>х</w:t>
      </w:r>
      <w:r w:rsidRPr="00C821D9">
        <w:t xml:space="preserve"> назна</w:t>
      </w:r>
      <w:r>
        <w:t xml:space="preserve">чений по КБК </w:t>
      </w:r>
      <w:r w:rsidR="00E80FA8">
        <w:t>301</w:t>
      </w:r>
      <w:r w:rsidRPr="00C821D9">
        <w:t xml:space="preserve"> 1 03 02000 01 0000 110</w:t>
      </w:r>
      <w:r>
        <w:t xml:space="preserve"> «</w:t>
      </w:r>
      <w:r w:rsidRPr="00C821D9">
        <w:t>Акцизы по подакцизным товарам (продукции), производимым на терр</w:t>
      </w:r>
      <w:r w:rsidRPr="00C821D9">
        <w:t>и</w:t>
      </w:r>
      <w:r w:rsidRPr="00C821D9">
        <w:t>тории Российской Федерации</w:t>
      </w:r>
      <w:r>
        <w:t xml:space="preserve">» в сумме </w:t>
      </w:r>
      <w:r w:rsidR="00E80FA8">
        <w:t xml:space="preserve">242,3 </w:t>
      </w:r>
      <w:r>
        <w:t xml:space="preserve">тыс. руб., разница в сумме </w:t>
      </w:r>
      <w:r w:rsidR="00E80FA8">
        <w:t>101,5</w:t>
      </w:r>
      <w:r w:rsidRPr="00035C15">
        <w:t xml:space="preserve"> </w:t>
      </w:r>
      <w:r>
        <w:t>тыс. руб. должна быть направлена на увеличение бюджетных ассигнований муниципального доро</w:t>
      </w:r>
      <w:r>
        <w:t>ж</w:t>
      </w:r>
      <w:r>
        <w:t>ного фонда в</w:t>
      </w:r>
      <w:proofErr w:type="gramEnd"/>
      <w:r>
        <w:t xml:space="preserve"> 2016 году в соответствие </w:t>
      </w:r>
      <w:r w:rsidRPr="0067446F">
        <w:rPr>
          <w:b/>
          <w:i/>
        </w:rPr>
        <w:t>пункт</w:t>
      </w:r>
      <w:r>
        <w:rPr>
          <w:b/>
          <w:i/>
        </w:rPr>
        <w:t>у</w:t>
      </w:r>
      <w:r w:rsidRPr="0067446F">
        <w:rPr>
          <w:b/>
          <w:i/>
        </w:rPr>
        <w:t xml:space="preserve"> 5 статьи 179.4 БК РФ:</w:t>
      </w:r>
    </w:p>
    <w:p w:rsidR="000115C2" w:rsidRDefault="000115C2" w:rsidP="000115C2">
      <w:pPr>
        <w:autoSpaceDE w:val="0"/>
        <w:autoSpaceDN w:val="0"/>
        <w:adjustRightInd w:val="0"/>
        <w:spacing w:before="40"/>
        <w:ind w:firstLine="540"/>
        <w:jc w:val="both"/>
        <w:rPr>
          <w:i/>
          <w:iCs/>
          <w:sz w:val="20"/>
          <w:szCs w:val="20"/>
        </w:rPr>
      </w:pPr>
      <w:r w:rsidRPr="002D21E9">
        <w:rPr>
          <w:b/>
          <w:i/>
          <w:sz w:val="20"/>
          <w:szCs w:val="20"/>
        </w:rPr>
        <w:t>«</w:t>
      </w:r>
      <w:r w:rsidRPr="002D21E9">
        <w:rPr>
          <w:i/>
          <w:iCs/>
          <w:sz w:val="20"/>
          <w:szCs w:val="20"/>
        </w:rPr>
        <w:t>Бюджетные ассигнования муниципального дорожного фонда, не использованные в текущем финанс</w:t>
      </w:r>
      <w:r w:rsidRPr="002D21E9">
        <w:rPr>
          <w:i/>
          <w:iCs/>
          <w:sz w:val="20"/>
          <w:szCs w:val="20"/>
        </w:rPr>
        <w:t>о</w:t>
      </w:r>
      <w:r w:rsidRPr="002D21E9">
        <w:rPr>
          <w:i/>
          <w:iCs/>
          <w:sz w:val="20"/>
          <w:szCs w:val="20"/>
        </w:rPr>
        <w:t>вом году, направляются на увеличение бюджетных ассигнований муниципального дорожного фонда в очере</w:t>
      </w:r>
      <w:r w:rsidRPr="002D21E9">
        <w:rPr>
          <w:i/>
          <w:iCs/>
          <w:sz w:val="20"/>
          <w:szCs w:val="20"/>
        </w:rPr>
        <w:t>д</w:t>
      </w:r>
      <w:r w:rsidRPr="002D21E9">
        <w:rPr>
          <w:i/>
          <w:iCs/>
          <w:sz w:val="20"/>
          <w:szCs w:val="20"/>
        </w:rPr>
        <w:t>ном фина</w:t>
      </w:r>
      <w:r>
        <w:rPr>
          <w:i/>
          <w:iCs/>
          <w:sz w:val="20"/>
          <w:szCs w:val="20"/>
        </w:rPr>
        <w:t>нсовом году».</w:t>
      </w:r>
    </w:p>
    <w:p w:rsidR="004A13B7" w:rsidRPr="0029403D" w:rsidRDefault="004A13B7" w:rsidP="004C63CF">
      <w:pPr>
        <w:spacing w:before="6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E5742F">
        <w:t>2015</w:t>
      </w:r>
      <w:r w:rsidR="00C800CC" w:rsidRPr="0029403D">
        <w:t xml:space="preserve"> году исполнены в объёме </w:t>
      </w:r>
      <w:r w:rsidR="00B6144E">
        <w:t>843,6</w:t>
      </w:r>
      <w:r w:rsidR="00C800CC" w:rsidRPr="0029403D">
        <w:t xml:space="preserve"> тыс. руб. или </w:t>
      </w:r>
      <w:r w:rsidR="00B6144E">
        <w:t>97,5</w:t>
      </w:r>
      <w:r w:rsidR="00C800CC" w:rsidRPr="0029403D">
        <w:t>% к плану</w:t>
      </w:r>
      <w:r w:rsidR="00A94EB3">
        <w:t xml:space="preserve"> </w:t>
      </w:r>
      <w:r w:rsidR="00A94EB3" w:rsidRPr="0029403D">
        <w:t>(</w:t>
      </w:r>
      <w:r w:rsidR="00A94EB3">
        <w:t>недоисполнение</w:t>
      </w:r>
      <w:r w:rsidR="00A94EB3" w:rsidRPr="0029403D">
        <w:t xml:space="preserve"> – </w:t>
      </w:r>
      <w:r w:rsidR="00B6144E">
        <w:t>21,9</w:t>
      </w:r>
      <w:r w:rsidR="00A94EB3" w:rsidRPr="0029403D">
        <w:t xml:space="preserve"> тыс. руб.).</w:t>
      </w:r>
      <w:r w:rsidR="00F34DB4" w:rsidRPr="0029403D">
        <w:t xml:space="preserve"> Удельный вес раздела в расходах бюджета составил </w:t>
      </w:r>
      <w:r w:rsidR="00B6144E">
        <w:t>10,8</w:t>
      </w:r>
      <w:r w:rsidR="00F34DB4" w:rsidRPr="0029403D">
        <w:t>%.</w:t>
      </w:r>
      <w:r w:rsidR="007B7C46" w:rsidRPr="007B7C46">
        <w:t xml:space="preserve"> </w:t>
      </w:r>
      <w:r w:rsidR="007B7C46">
        <w:t>Согласно пояснительной записке по данному разделу производились расходы на содержание коммунального хозяйства (</w:t>
      </w:r>
      <w:r w:rsidR="00B701E1">
        <w:t>780,0</w:t>
      </w:r>
      <w:r w:rsidR="007B7C46">
        <w:t xml:space="preserve"> тыс. руб.) и благоустройство территории поселения (</w:t>
      </w:r>
      <w:r w:rsidR="00B701E1">
        <w:t>63,6</w:t>
      </w:r>
      <w:r w:rsidR="007B7C46">
        <w:t xml:space="preserve"> тыс. руб.).</w:t>
      </w:r>
    </w:p>
    <w:p w:rsidR="009262CF" w:rsidRPr="003A4D4C" w:rsidRDefault="004A13B7" w:rsidP="004C63CF">
      <w:pPr>
        <w:spacing w:before="60"/>
        <w:ind w:firstLine="567"/>
        <w:jc w:val="both"/>
        <w:rPr>
          <w:i/>
        </w:rPr>
      </w:pPr>
      <w:r w:rsidRPr="0029403D">
        <w:rPr>
          <w:b/>
        </w:rPr>
        <w:t>По разделу 08 «Культура, кинематография»</w:t>
      </w:r>
      <w:r w:rsidRPr="0029403D">
        <w:t xml:space="preserve"> </w:t>
      </w:r>
      <w:r w:rsidR="009262CF" w:rsidRPr="0029403D">
        <w:t xml:space="preserve">расходы в </w:t>
      </w:r>
      <w:r w:rsidR="00E5742F">
        <w:t>2015</w:t>
      </w:r>
      <w:r w:rsidR="009262CF" w:rsidRPr="0029403D">
        <w:t xml:space="preserve"> году исполнены в объ</w:t>
      </w:r>
      <w:r w:rsidR="009262CF" w:rsidRPr="0029403D">
        <w:t>ё</w:t>
      </w:r>
      <w:r w:rsidR="009262CF" w:rsidRPr="0029403D">
        <w:t xml:space="preserve">ме </w:t>
      </w:r>
      <w:r w:rsidR="00B701E1">
        <w:t>3889,9</w:t>
      </w:r>
      <w:r w:rsidR="009262CF" w:rsidRPr="0029403D">
        <w:t xml:space="preserve"> тыс. руб. или </w:t>
      </w:r>
      <w:r w:rsidR="00B701E1">
        <w:t>97,9</w:t>
      </w:r>
      <w:r w:rsidR="009262CF" w:rsidRPr="0029403D">
        <w:t>% к плану</w:t>
      </w:r>
      <w:r w:rsidR="009F7257">
        <w:t xml:space="preserve"> </w:t>
      </w:r>
      <w:r w:rsidR="009F7257" w:rsidRPr="0029403D">
        <w:t>(</w:t>
      </w:r>
      <w:r w:rsidR="009F7257">
        <w:t>недоисполнение</w:t>
      </w:r>
      <w:r w:rsidR="009F7257" w:rsidRPr="0029403D">
        <w:t xml:space="preserve"> – </w:t>
      </w:r>
      <w:r w:rsidR="00B701E1">
        <w:t>82,5</w:t>
      </w:r>
      <w:r w:rsidR="009F7257" w:rsidRPr="0029403D">
        <w:t xml:space="preserve"> тыс. руб.)</w:t>
      </w:r>
      <w:r w:rsidR="009262CF" w:rsidRPr="0029403D">
        <w:t>.</w:t>
      </w:r>
      <w:r w:rsidR="00F34DB4" w:rsidRPr="0029403D">
        <w:t xml:space="preserve"> </w:t>
      </w:r>
      <w:r w:rsidR="00F34DB4" w:rsidRPr="003A4D4C">
        <w:rPr>
          <w:i/>
        </w:rPr>
        <w:t>Удельный вес ра</w:t>
      </w:r>
      <w:r w:rsidR="00F34DB4" w:rsidRPr="003A4D4C">
        <w:rPr>
          <w:i/>
        </w:rPr>
        <w:t>з</w:t>
      </w:r>
      <w:r w:rsidR="00F34DB4" w:rsidRPr="003A4D4C">
        <w:rPr>
          <w:i/>
        </w:rPr>
        <w:t xml:space="preserve">дела в расходах бюджета составил </w:t>
      </w:r>
      <w:r w:rsidR="00B701E1">
        <w:rPr>
          <w:i/>
        </w:rPr>
        <w:t>49,6</w:t>
      </w:r>
      <w:r w:rsidR="00F34DB4" w:rsidRPr="003A4D4C">
        <w:rPr>
          <w:i/>
        </w:rPr>
        <w:t>%.</w:t>
      </w:r>
      <w:r w:rsidR="00D535BE" w:rsidRPr="00D535BE">
        <w:t xml:space="preserve"> </w:t>
      </w:r>
      <w:r w:rsidR="00D535BE">
        <w:t xml:space="preserve">Согласно пояснительной записке увеличение расходов </w:t>
      </w:r>
      <w:r w:rsidR="00682D2A">
        <w:t xml:space="preserve">по данному разделу </w:t>
      </w:r>
      <w:r w:rsidR="00D535BE">
        <w:t xml:space="preserve">по отношению </w:t>
      </w:r>
      <w:r w:rsidR="00682D2A">
        <w:t xml:space="preserve">к 2014 году </w:t>
      </w:r>
      <w:r w:rsidR="00D535BE">
        <w:t>связано</w:t>
      </w:r>
      <w:r w:rsidR="00682D2A">
        <w:t xml:space="preserve"> с ремонтом кровли дома культуры </w:t>
      </w:r>
      <w:proofErr w:type="gramStart"/>
      <w:r w:rsidR="00682D2A">
        <w:t>в</w:t>
      </w:r>
      <w:proofErr w:type="gramEnd"/>
      <w:r w:rsidR="00682D2A">
        <w:t xml:space="preserve"> </w:t>
      </w:r>
      <w:proofErr w:type="gramStart"/>
      <w:r w:rsidR="00682D2A">
        <w:t>с</w:t>
      </w:r>
      <w:proofErr w:type="gramEnd"/>
      <w:r w:rsidR="00682D2A">
        <w:t>. Форпост-Каргат (</w:t>
      </w:r>
      <w:r w:rsidR="00475EBA">
        <w:t>426,5 тыс. руб.)</w:t>
      </w:r>
    </w:p>
    <w:p w:rsidR="00EC7569" w:rsidRDefault="004A13B7" w:rsidP="004C63CF">
      <w:pPr>
        <w:spacing w:before="6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E5742F">
        <w:t>2015</w:t>
      </w:r>
      <w:r w:rsidR="009262CF" w:rsidRPr="0029403D">
        <w:t xml:space="preserve"> году исполнены в объёме </w:t>
      </w:r>
      <w:r w:rsidR="00475EBA">
        <w:t>105,3</w:t>
      </w:r>
      <w:r w:rsidR="009262CF" w:rsidRPr="0029403D">
        <w:t xml:space="preserve"> тыс. руб. или </w:t>
      </w:r>
      <w:r w:rsidR="00475EBA">
        <w:t>99,9</w:t>
      </w:r>
      <w:r w:rsidR="009262CF" w:rsidRPr="0029403D">
        <w:t>% к плану</w:t>
      </w:r>
      <w:r w:rsidR="007E791C">
        <w:t xml:space="preserve"> </w:t>
      </w:r>
      <w:r w:rsidR="007E791C" w:rsidRPr="0029403D">
        <w:t>(</w:t>
      </w:r>
      <w:r w:rsidR="007E791C">
        <w:t>недоисполнение</w:t>
      </w:r>
      <w:r w:rsidR="007E791C" w:rsidRPr="0029403D">
        <w:t xml:space="preserve"> – </w:t>
      </w:r>
      <w:r w:rsidR="00475EBA">
        <w:t>0,1</w:t>
      </w:r>
      <w:r w:rsidR="007E791C" w:rsidRPr="0029403D">
        <w:t xml:space="preserve"> тыс. руб.)</w:t>
      </w:r>
      <w:r w:rsidR="009262CF" w:rsidRPr="0029403D">
        <w:t>.</w:t>
      </w:r>
      <w:r w:rsidR="00F34DB4" w:rsidRPr="0029403D">
        <w:t xml:space="preserve"> Удельный вес раздела в расходах бюджета составил </w:t>
      </w:r>
      <w:r w:rsidR="00475EBA">
        <w:t>1,3</w:t>
      </w:r>
      <w:r w:rsidR="00F34DB4" w:rsidRPr="0029403D">
        <w:t>%.</w:t>
      </w:r>
      <w:r w:rsidR="00475EBA" w:rsidRPr="00475EBA">
        <w:t xml:space="preserve"> </w:t>
      </w:r>
      <w:r w:rsidR="00475EBA">
        <w:t xml:space="preserve">Согласно пояснительной записке увеличение расходов по данному разделу по отношению к 2014 году связано с </w:t>
      </w:r>
      <w:r w:rsidR="00EC7569">
        <w:t>увеличением количества муниципал</w:t>
      </w:r>
      <w:r w:rsidR="00EC7569">
        <w:t>ь</w:t>
      </w:r>
      <w:r w:rsidR="00EC7569">
        <w:t>ных служащих, получающих доплату к пенсии.</w:t>
      </w:r>
    </w:p>
    <w:p w:rsidR="005D733A" w:rsidRPr="00B5155A" w:rsidRDefault="005D733A" w:rsidP="005D733A">
      <w:pPr>
        <w:spacing w:before="60"/>
        <w:ind w:firstLine="567"/>
        <w:jc w:val="both"/>
        <w:rPr>
          <w:spacing w:val="-4"/>
        </w:rPr>
      </w:pPr>
      <w:r w:rsidRPr="00B5155A">
        <w:rPr>
          <w:b/>
          <w:spacing w:val="-4"/>
        </w:rPr>
        <w:t>По разделу 11 «</w:t>
      </w:r>
      <w:r w:rsidRPr="00B5155A">
        <w:rPr>
          <w:b/>
          <w:bCs/>
          <w:spacing w:val="-4"/>
        </w:rPr>
        <w:t>Физическая культура и спорт</w:t>
      </w:r>
      <w:r w:rsidRPr="00B5155A">
        <w:rPr>
          <w:b/>
          <w:spacing w:val="-4"/>
        </w:rPr>
        <w:t>»</w:t>
      </w:r>
      <w:r w:rsidRPr="00B5155A">
        <w:rPr>
          <w:spacing w:val="-4"/>
        </w:rPr>
        <w:t xml:space="preserve"> расходы в </w:t>
      </w:r>
      <w:r w:rsidR="00E5742F">
        <w:rPr>
          <w:spacing w:val="-4"/>
        </w:rPr>
        <w:t>2015</w:t>
      </w:r>
      <w:r w:rsidRPr="00B5155A">
        <w:rPr>
          <w:spacing w:val="-4"/>
        </w:rPr>
        <w:t xml:space="preserve"> году исполнены в объёме </w:t>
      </w:r>
      <w:r w:rsidR="00EC7569">
        <w:rPr>
          <w:spacing w:val="-4"/>
        </w:rPr>
        <w:t>2,1</w:t>
      </w:r>
      <w:r w:rsidRPr="00B5155A">
        <w:rPr>
          <w:spacing w:val="-4"/>
        </w:rPr>
        <w:t xml:space="preserve"> тыс. руб. или 100% к плану. </w:t>
      </w:r>
      <w:r w:rsidR="003A4D4C" w:rsidRPr="001F6ED2">
        <w:rPr>
          <w:spacing w:val="-2"/>
        </w:rPr>
        <w:t xml:space="preserve">Удельный вес раздела в расходах бюджета </w:t>
      </w:r>
      <w:r w:rsidR="003A4D4C">
        <w:rPr>
          <w:spacing w:val="-2"/>
        </w:rPr>
        <w:t>незначителен.</w:t>
      </w:r>
    </w:p>
    <w:p w:rsidR="00175EAA" w:rsidRPr="0029403D" w:rsidRDefault="00372EC1" w:rsidP="00175EAA">
      <w:pPr>
        <w:pStyle w:val="1"/>
      </w:pPr>
      <w:r w:rsidRPr="0029403D">
        <w:t>Вывод:</w:t>
      </w:r>
      <w:r w:rsidR="00B5155A">
        <w:t xml:space="preserve"> </w:t>
      </w:r>
      <w:r w:rsidR="00272CB8" w:rsidRPr="0029403D">
        <w:t xml:space="preserve">годовой отчёт об исполнении бюджета </w:t>
      </w:r>
      <w:r w:rsidR="00272CB8">
        <w:t>Форпост-Каргат</w:t>
      </w:r>
      <w:r w:rsidR="00272CB8" w:rsidRPr="0029403D">
        <w:t xml:space="preserve">ского сельсовета Каргатского района Новосибирской области за </w:t>
      </w:r>
      <w:r w:rsidR="00E5742F">
        <w:t>2015</w:t>
      </w:r>
      <w:r w:rsidR="00272CB8" w:rsidRPr="0029403D">
        <w:t xml:space="preserve"> год признать достоверным</w:t>
      </w:r>
      <w:r w:rsidR="00175EAA">
        <w:t>, однако имеются нарушения и замечания</w:t>
      </w:r>
      <w:r w:rsidR="00175EAA" w:rsidRPr="0029403D">
        <w:t>.</w:t>
      </w:r>
    </w:p>
    <w:p w:rsidR="00C7646B" w:rsidRPr="00F435AA" w:rsidRDefault="00C7646B" w:rsidP="00C7646B">
      <w:pPr>
        <w:spacing w:before="180" w:after="12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C7646B" w:rsidRPr="00C7646B" w:rsidRDefault="00C7646B" w:rsidP="00C7646B">
      <w:pPr>
        <w:ind w:firstLine="567"/>
        <w:rPr>
          <w:b/>
          <w:i/>
        </w:rPr>
      </w:pPr>
      <w:r w:rsidRPr="00C7646B">
        <w:rPr>
          <w:b/>
          <w:i/>
        </w:rPr>
        <w:t>Администрации Форпост-Каргатского сельсовета:</w:t>
      </w:r>
    </w:p>
    <w:p w:rsidR="00F00989" w:rsidRDefault="00F00989" w:rsidP="003A4D4C">
      <w:pPr>
        <w:spacing w:before="60"/>
        <w:ind w:firstLine="567"/>
        <w:jc w:val="both"/>
        <w:rPr>
          <w:spacing w:val="-2"/>
        </w:rPr>
      </w:pPr>
      <w:r>
        <w:t>1</w:t>
      </w:r>
      <w:r w:rsidR="003A4D4C">
        <w:t>)</w:t>
      </w:r>
      <w:r w:rsidR="003A4D4C" w:rsidRPr="00213F69">
        <w:t xml:space="preserve"> </w:t>
      </w:r>
      <w:r w:rsidRPr="00B75826">
        <w:t>в таблице 7 к пояснительной записке (ф. 0503160)</w:t>
      </w:r>
      <w:r>
        <w:t xml:space="preserve"> должно быть</w:t>
      </w:r>
      <w:r>
        <w:rPr>
          <w:bCs/>
        </w:rPr>
        <w:t xml:space="preserve"> наименование табл</w:t>
      </w:r>
      <w:r>
        <w:rPr>
          <w:bCs/>
        </w:rPr>
        <w:t>и</w:t>
      </w:r>
      <w:r>
        <w:rPr>
          <w:bCs/>
        </w:rPr>
        <w:t>цы, а также,</w:t>
      </w:r>
      <w:r>
        <w:t xml:space="preserve"> информация о мерах по результатам проверок </w:t>
      </w:r>
      <w:r w:rsidRPr="00213CAB">
        <w:rPr>
          <w:spacing w:val="-2"/>
        </w:rPr>
        <w:t>(</w:t>
      </w:r>
      <w:r w:rsidRPr="00213CAB">
        <w:rPr>
          <w:b/>
          <w:i/>
          <w:spacing w:val="-2"/>
        </w:rPr>
        <w:t xml:space="preserve">на данное </w:t>
      </w:r>
      <w:r>
        <w:rPr>
          <w:b/>
          <w:i/>
          <w:spacing w:val="-2"/>
        </w:rPr>
        <w:t>замечание</w:t>
      </w:r>
      <w:r w:rsidRPr="00213CAB">
        <w:rPr>
          <w:b/>
          <w:i/>
          <w:spacing w:val="-2"/>
        </w:rPr>
        <w:t xml:space="preserve"> было ук</w:t>
      </w:r>
      <w:r w:rsidRPr="00213CAB">
        <w:rPr>
          <w:b/>
          <w:i/>
          <w:spacing w:val="-2"/>
        </w:rPr>
        <w:t>а</w:t>
      </w:r>
      <w:r w:rsidRPr="00213CAB">
        <w:rPr>
          <w:b/>
          <w:i/>
          <w:spacing w:val="-2"/>
        </w:rPr>
        <w:t>зано в экспертном заключении по результатам внешней проверки годового отчёта об и</w:t>
      </w:r>
      <w:r w:rsidRPr="00213CAB">
        <w:rPr>
          <w:b/>
          <w:i/>
          <w:spacing w:val="-2"/>
        </w:rPr>
        <w:t>с</w:t>
      </w:r>
      <w:r w:rsidRPr="00213CAB">
        <w:rPr>
          <w:b/>
          <w:i/>
          <w:spacing w:val="-2"/>
        </w:rPr>
        <w:t>полнении бюджета за 2014 год</w:t>
      </w:r>
      <w:r w:rsidRPr="00213CAB">
        <w:rPr>
          <w:spacing w:val="-2"/>
        </w:rPr>
        <w:t>)</w:t>
      </w:r>
      <w:r>
        <w:rPr>
          <w:spacing w:val="-2"/>
        </w:rPr>
        <w:t>;</w:t>
      </w:r>
    </w:p>
    <w:p w:rsidR="00F00989" w:rsidRDefault="00F00989" w:rsidP="00F00989">
      <w:pPr>
        <w:spacing w:before="60"/>
        <w:ind w:firstLine="567"/>
        <w:jc w:val="both"/>
        <w:rPr>
          <w:spacing w:val="-2"/>
        </w:rPr>
      </w:pPr>
      <w:r>
        <w:rPr>
          <w:spacing w:val="-2"/>
        </w:rPr>
        <w:lastRenderedPageBreak/>
        <w:t>2</w:t>
      </w:r>
      <w:r w:rsidRPr="00F2033E">
        <w:rPr>
          <w:spacing w:val="-2"/>
        </w:rPr>
        <w:t xml:space="preserve">) </w:t>
      </w:r>
      <w:r>
        <w:rPr>
          <w:color w:val="000000"/>
          <w:spacing w:val="-2"/>
        </w:rPr>
        <w:t>формы бюджетной отчётности</w:t>
      </w:r>
      <w:r w:rsidRPr="00F2033E">
        <w:rPr>
          <w:spacing w:val="-2"/>
        </w:rPr>
        <w:t xml:space="preserve"> </w:t>
      </w:r>
      <w:r>
        <w:rPr>
          <w:spacing w:val="-2"/>
        </w:rPr>
        <w:t>(05031</w:t>
      </w:r>
      <w:bookmarkStart w:id="0" w:name="_GoBack"/>
      <w:bookmarkEnd w:id="0"/>
      <w:r>
        <w:rPr>
          <w:spacing w:val="-2"/>
        </w:rPr>
        <w:t>77) должны содержать всю необходимую и</w:t>
      </w:r>
      <w:r>
        <w:rPr>
          <w:spacing w:val="-2"/>
        </w:rPr>
        <w:t>н</w:t>
      </w:r>
      <w:r>
        <w:rPr>
          <w:spacing w:val="-2"/>
        </w:rPr>
        <w:t>формацию;</w:t>
      </w:r>
    </w:p>
    <w:p w:rsidR="003A4D4C" w:rsidRPr="00213F69" w:rsidRDefault="00F00989" w:rsidP="003A4D4C">
      <w:pPr>
        <w:spacing w:before="60"/>
        <w:ind w:firstLine="567"/>
        <w:jc w:val="both"/>
      </w:pPr>
      <w:r>
        <w:t xml:space="preserve">3) </w:t>
      </w:r>
      <w:r w:rsidR="003A4D4C" w:rsidRPr="00213F69">
        <w:t>при осуществлении закупок у единственного поставщика строго следовать подпун</w:t>
      </w:r>
      <w:r w:rsidR="003A4D4C" w:rsidRPr="00213F69">
        <w:t>к</w:t>
      </w:r>
      <w:r w:rsidR="003A4D4C" w:rsidRPr="00213F69">
        <w:t>ту 4 пункта 1 статьи 93 Федерального закона от 05.04.</w:t>
      </w:r>
      <w:r w:rsidR="00E5742F">
        <w:t>2014</w:t>
      </w:r>
      <w:r w:rsidR="003A4D4C" w:rsidRPr="00213F69">
        <w:t xml:space="preserve"> № 44-ФЗ;</w:t>
      </w:r>
    </w:p>
    <w:p w:rsidR="00F00989" w:rsidRDefault="00F00989" w:rsidP="00F00989">
      <w:pPr>
        <w:spacing w:before="60"/>
        <w:ind w:firstLine="567"/>
        <w:jc w:val="both"/>
      </w:pPr>
      <w:r>
        <w:t>4</w:t>
      </w:r>
      <w:r w:rsidRPr="00796760">
        <w:t xml:space="preserve">) </w:t>
      </w:r>
      <w:r>
        <w:t>провести работу с кредиторской задолженно</w:t>
      </w:r>
      <w:r w:rsidR="00527BBC">
        <w:t>стью, сложившейся на 01.01.2015</w:t>
      </w:r>
      <w:r>
        <w:t xml:space="preserve"> и н</w:t>
      </w:r>
      <w:r>
        <w:t>е</w:t>
      </w:r>
      <w:r>
        <w:t>погашенной на 01.01.2016;</w:t>
      </w:r>
    </w:p>
    <w:p w:rsidR="00372EC1" w:rsidRDefault="00F00989" w:rsidP="006B281F">
      <w:pPr>
        <w:spacing w:before="60"/>
        <w:ind w:firstLine="567"/>
        <w:jc w:val="both"/>
        <w:rPr>
          <w:szCs w:val="28"/>
        </w:rPr>
      </w:pPr>
      <w:r>
        <w:t>5</w:t>
      </w:r>
      <w:r w:rsidR="00372EC1" w:rsidRPr="0029403D">
        <w:t>) при планировании и исполнении местного бюджета</w:t>
      </w:r>
      <w:r w:rsidR="00372EC1" w:rsidRPr="0029403D">
        <w:rPr>
          <w:szCs w:val="28"/>
        </w:rPr>
        <w:t xml:space="preserve"> лимиты на содержание органов местного самоуправления должны соответствовать нормативам, установленным постановл</w:t>
      </w:r>
      <w:r w:rsidR="00372EC1" w:rsidRPr="0029403D">
        <w:rPr>
          <w:szCs w:val="28"/>
        </w:rPr>
        <w:t>е</w:t>
      </w:r>
      <w:r w:rsidR="00372EC1" w:rsidRPr="0029403D">
        <w:rPr>
          <w:szCs w:val="28"/>
        </w:rPr>
        <w:t>нием администрации Новосибирской</w:t>
      </w:r>
      <w:r w:rsidR="00372EC1">
        <w:rPr>
          <w:szCs w:val="28"/>
        </w:rPr>
        <w:t xml:space="preserve"> области от 28.12.200</w:t>
      </w:r>
      <w:r w:rsidR="00320266">
        <w:rPr>
          <w:szCs w:val="28"/>
        </w:rPr>
        <w:t>7 № 206-па (с учётом изменений)</w:t>
      </w:r>
      <w:r w:rsidR="00527BBC">
        <w:rPr>
          <w:szCs w:val="28"/>
        </w:rPr>
        <w:t xml:space="preserve"> </w:t>
      </w:r>
      <w:r w:rsidR="00527BBC">
        <w:rPr>
          <w:szCs w:val="28"/>
        </w:rPr>
        <w:t>или должна быть указана объективн</w:t>
      </w:r>
      <w:r w:rsidR="00527BBC">
        <w:rPr>
          <w:szCs w:val="28"/>
        </w:rPr>
        <w:t>ая причина превышению норматива</w:t>
      </w:r>
      <w:r w:rsidR="00320266">
        <w:rPr>
          <w:szCs w:val="28"/>
        </w:rPr>
        <w:t>;</w:t>
      </w:r>
    </w:p>
    <w:p w:rsidR="00F00989" w:rsidRDefault="00F00989" w:rsidP="00F00989">
      <w:pPr>
        <w:spacing w:before="60"/>
        <w:ind w:firstLine="567"/>
        <w:jc w:val="both"/>
        <w:rPr>
          <w:szCs w:val="28"/>
        </w:rPr>
      </w:pPr>
      <w:r>
        <w:rPr>
          <w:szCs w:val="28"/>
        </w:rPr>
        <w:t>6) при исполнении бюджета 2016 года увеличить бюджетные ассигнования муниц</w:t>
      </w:r>
      <w:r>
        <w:rPr>
          <w:szCs w:val="28"/>
        </w:rPr>
        <w:t>и</w:t>
      </w:r>
      <w:r>
        <w:rPr>
          <w:szCs w:val="28"/>
        </w:rPr>
        <w:t xml:space="preserve">пального дорожного фонда за счёт остатков 2015 года в объёме не менее </w:t>
      </w:r>
      <w:r>
        <w:t xml:space="preserve">101,5 </w:t>
      </w:r>
      <w:r>
        <w:rPr>
          <w:szCs w:val="28"/>
        </w:rPr>
        <w:t>тыс. руб.</w:t>
      </w:r>
    </w:p>
    <w:p w:rsidR="00C7646B" w:rsidRPr="0029403D" w:rsidRDefault="00C7646B" w:rsidP="003A4D4C">
      <w:pPr>
        <w:spacing w:before="180"/>
        <w:ind w:firstLine="567"/>
        <w:jc w:val="both"/>
      </w:pPr>
      <w:r w:rsidRPr="00A82072">
        <w:rPr>
          <w:b/>
          <w:i/>
        </w:rPr>
        <w:t xml:space="preserve">Совету депутатов </w:t>
      </w:r>
      <w:r w:rsidRPr="00C7646B">
        <w:rPr>
          <w:b/>
          <w:i/>
        </w:rPr>
        <w:t xml:space="preserve">Форпост-Каргатского </w:t>
      </w:r>
      <w:r w:rsidRPr="00F435AA">
        <w:rPr>
          <w:b/>
          <w:i/>
        </w:rPr>
        <w:t>сельсовета</w:t>
      </w:r>
      <w:r>
        <w:rPr>
          <w:b/>
          <w:i/>
        </w:rPr>
        <w:t>:</w:t>
      </w:r>
      <w:r w:rsidRPr="00C056D0">
        <w:t xml:space="preserve"> учесть изложенные в насто</w:t>
      </w:r>
      <w:r w:rsidRPr="00C056D0">
        <w:t>я</w:t>
      </w:r>
      <w:r w:rsidRPr="00C056D0">
        <w:t xml:space="preserve">щем заключении замечания при рассмотрении отчёта об исполнении бюджета </w:t>
      </w:r>
      <w:r>
        <w:t>Форпост-Каргат</w:t>
      </w:r>
      <w:r w:rsidRPr="0029403D">
        <w:t xml:space="preserve">ского сельсовета Каргатского района Новосибирской области за </w:t>
      </w:r>
      <w:r w:rsidR="00E5742F">
        <w:t>2015</w:t>
      </w:r>
      <w:r w:rsidRPr="0029403D">
        <w:t xml:space="preserve"> год.</w:t>
      </w:r>
    </w:p>
    <w:p w:rsidR="00F00989" w:rsidRPr="0029403D" w:rsidRDefault="00F00989" w:rsidP="00F00989">
      <w:pPr>
        <w:spacing w:before="180"/>
        <w:ind w:firstLine="567"/>
        <w:jc w:val="both"/>
      </w:pPr>
      <w:r w:rsidRPr="0029403D">
        <w:t xml:space="preserve">Экспертное заключение направить </w:t>
      </w:r>
      <w:r>
        <w:t>в администрацию</w:t>
      </w:r>
      <w:r w:rsidRPr="0029403D">
        <w:t xml:space="preserve"> </w:t>
      </w:r>
      <w:r>
        <w:t>Форпост</w:t>
      </w:r>
      <w:r w:rsidRPr="0029403D">
        <w:t xml:space="preserve">-Каргатского сельсовета и Совет депутатов </w:t>
      </w:r>
      <w:r>
        <w:t>Форпост</w:t>
      </w:r>
      <w:r w:rsidRPr="0029403D">
        <w:t>-Каргатского сельсовета.</w:t>
      </w:r>
    </w:p>
    <w:p w:rsidR="00372EC1" w:rsidRPr="0029403D" w:rsidRDefault="00372EC1" w:rsidP="00372EC1"/>
    <w:p w:rsidR="00372EC1" w:rsidRDefault="00372EC1" w:rsidP="00372EC1"/>
    <w:p w:rsidR="003A4D4C" w:rsidRPr="0029403D" w:rsidRDefault="003A4D4C" w:rsidP="00372EC1"/>
    <w:p w:rsidR="00372EC1" w:rsidRPr="0029403D" w:rsidRDefault="00372EC1" w:rsidP="00372EC1"/>
    <w:p w:rsidR="00C7646B" w:rsidRDefault="00C7646B" w:rsidP="00C7646B">
      <w:r>
        <w:t>Председатель</w:t>
      </w:r>
      <w:r w:rsidRPr="0029403D">
        <w:t xml:space="preserve"> </w:t>
      </w:r>
      <w:r>
        <w:t>Р</w:t>
      </w:r>
      <w:r w:rsidRPr="0029403D">
        <w:t>евизионной комиссии</w:t>
      </w:r>
      <w:r>
        <w:tab/>
      </w:r>
      <w:r w:rsidRPr="0029403D">
        <w:tab/>
      </w:r>
      <w:r w:rsidRPr="0029403D">
        <w:tab/>
      </w:r>
      <w:r>
        <w:tab/>
        <w:t>Т</w:t>
      </w:r>
      <w:r w:rsidRPr="0029403D">
        <w:t>.</w:t>
      </w:r>
      <w:r>
        <w:t>Г</w:t>
      </w:r>
      <w:r w:rsidRPr="0029403D">
        <w:t>.</w:t>
      </w:r>
      <w:r>
        <w:t xml:space="preserve"> Белоусова</w:t>
      </w:r>
      <w:r w:rsidRPr="0029403D">
        <w:tab/>
      </w:r>
    </w:p>
    <w:p w:rsidR="00C7646B" w:rsidRDefault="00C7646B" w:rsidP="00C7646B">
      <w:pPr>
        <w:jc w:val="both"/>
      </w:pPr>
    </w:p>
    <w:p w:rsidR="003A4D4C" w:rsidRDefault="003A4D4C" w:rsidP="00C7646B">
      <w:pPr>
        <w:jc w:val="both"/>
      </w:pPr>
    </w:p>
    <w:p w:rsidR="00C7646B" w:rsidRDefault="00C7646B" w:rsidP="00C7646B">
      <w:pPr>
        <w:jc w:val="both"/>
      </w:pPr>
    </w:p>
    <w:p w:rsidR="00C7646B" w:rsidRDefault="00C7646B" w:rsidP="00C7646B">
      <w:pPr>
        <w:jc w:val="both"/>
      </w:pPr>
    </w:p>
    <w:p w:rsidR="0027182F" w:rsidRPr="0029403D" w:rsidRDefault="00C7646B" w:rsidP="00C7646B">
      <w:r w:rsidRPr="0029403D">
        <w:t xml:space="preserve">Инспектор </w:t>
      </w:r>
      <w:r>
        <w:t>Р</w:t>
      </w:r>
      <w:r w:rsidRPr="0029403D">
        <w:t>евизионной комиссии</w:t>
      </w:r>
      <w:r>
        <w:tab/>
      </w:r>
      <w:r>
        <w:tab/>
      </w:r>
      <w:r>
        <w:tab/>
      </w:r>
      <w:r>
        <w:tab/>
      </w:r>
      <w:r>
        <w:tab/>
        <w:t>А.В. Довгучиц</w:t>
      </w:r>
    </w:p>
    <w:sectPr w:rsidR="0027182F" w:rsidRPr="0029403D" w:rsidSect="00B75826">
      <w:footerReference w:type="even" r:id="rId9"/>
      <w:footerReference w:type="default" r:id="rId10"/>
      <w:pgSz w:w="11906" w:h="16838" w:code="9"/>
      <w:pgMar w:top="737" w:right="851" w:bottom="737"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1AF" w:rsidRDefault="002B31AF">
      <w:r>
        <w:separator/>
      </w:r>
    </w:p>
  </w:endnote>
  <w:endnote w:type="continuationSeparator" w:id="0">
    <w:p w:rsidR="002B31AF" w:rsidRDefault="002B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C9" w:rsidRDefault="004A3BC9"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A3BC9" w:rsidRDefault="004A3BC9"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BC9" w:rsidRPr="00AA4105" w:rsidRDefault="004A3BC9" w:rsidP="00F85C4C">
    <w:pPr>
      <w:pStyle w:val="aa"/>
      <w:framePr w:wrap="around" w:vAnchor="text" w:hAnchor="margin" w:xAlign="right" w:y="1"/>
      <w:rPr>
        <w:rStyle w:val="ab"/>
        <w:sz w:val="20"/>
        <w:szCs w:val="20"/>
      </w:rPr>
    </w:pPr>
    <w:r w:rsidRPr="00AA4105">
      <w:rPr>
        <w:rStyle w:val="ab"/>
        <w:sz w:val="20"/>
        <w:szCs w:val="20"/>
      </w:rPr>
      <w:fldChar w:fldCharType="begin"/>
    </w:r>
    <w:r w:rsidRPr="00AA4105">
      <w:rPr>
        <w:rStyle w:val="ab"/>
        <w:sz w:val="20"/>
        <w:szCs w:val="20"/>
      </w:rPr>
      <w:instrText xml:space="preserve">PAGE  </w:instrText>
    </w:r>
    <w:r w:rsidRPr="00AA4105">
      <w:rPr>
        <w:rStyle w:val="ab"/>
        <w:sz w:val="20"/>
        <w:szCs w:val="20"/>
      </w:rPr>
      <w:fldChar w:fldCharType="separate"/>
    </w:r>
    <w:r w:rsidR="00F76EC6">
      <w:rPr>
        <w:rStyle w:val="ab"/>
        <w:noProof/>
        <w:sz w:val="20"/>
        <w:szCs w:val="20"/>
      </w:rPr>
      <w:t>7</w:t>
    </w:r>
    <w:r w:rsidRPr="00AA4105">
      <w:rPr>
        <w:rStyle w:val="ab"/>
        <w:sz w:val="20"/>
        <w:szCs w:val="20"/>
      </w:rPr>
      <w:fldChar w:fldCharType="end"/>
    </w:r>
  </w:p>
  <w:p w:rsidR="004A3BC9" w:rsidRDefault="004A3BC9"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1AF" w:rsidRDefault="002B31AF">
      <w:r>
        <w:separator/>
      </w:r>
    </w:p>
  </w:footnote>
  <w:footnote w:type="continuationSeparator" w:id="0">
    <w:p w:rsidR="002B31AF" w:rsidRDefault="002B3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3B80"/>
    <w:rsid w:val="00004898"/>
    <w:rsid w:val="00005505"/>
    <w:rsid w:val="00006055"/>
    <w:rsid w:val="00006951"/>
    <w:rsid w:val="00006CE6"/>
    <w:rsid w:val="00007D23"/>
    <w:rsid w:val="000115C2"/>
    <w:rsid w:val="00015ED6"/>
    <w:rsid w:val="00017A3C"/>
    <w:rsid w:val="00017C97"/>
    <w:rsid w:val="00017DB9"/>
    <w:rsid w:val="000213FE"/>
    <w:rsid w:val="000240FE"/>
    <w:rsid w:val="0002466F"/>
    <w:rsid w:val="000246B2"/>
    <w:rsid w:val="00024ABA"/>
    <w:rsid w:val="000250FF"/>
    <w:rsid w:val="0002517C"/>
    <w:rsid w:val="0002771C"/>
    <w:rsid w:val="0002772D"/>
    <w:rsid w:val="000314E1"/>
    <w:rsid w:val="00031C71"/>
    <w:rsid w:val="00032935"/>
    <w:rsid w:val="00034D0D"/>
    <w:rsid w:val="00034F90"/>
    <w:rsid w:val="000406FD"/>
    <w:rsid w:val="00045F67"/>
    <w:rsid w:val="00046830"/>
    <w:rsid w:val="00047E92"/>
    <w:rsid w:val="0005148C"/>
    <w:rsid w:val="00051747"/>
    <w:rsid w:val="00052A03"/>
    <w:rsid w:val="00055C17"/>
    <w:rsid w:val="00057233"/>
    <w:rsid w:val="000601A7"/>
    <w:rsid w:val="0006136C"/>
    <w:rsid w:val="000634AC"/>
    <w:rsid w:val="00063EEF"/>
    <w:rsid w:val="00066440"/>
    <w:rsid w:val="00067C9B"/>
    <w:rsid w:val="0007269A"/>
    <w:rsid w:val="00073BF5"/>
    <w:rsid w:val="00080C19"/>
    <w:rsid w:val="000824C0"/>
    <w:rsid w:val="00082EE1"/>
    <w:rsid w:val="000875CF"/>
    <w:rsid w:val="000908AE"/>
    <w:rsid w:val="000951CD"/>
    <w:rsid w:val="00095C0B"/>
    <w:rsid w:val="00096F6C"/>
    <w:rsid w:val="000A2A8C"/>
    <w:rsid w:val="000A3AC5"/>
    <w:rsid w:val="000A4A24"/>
    <w:rsid w:val="000A6332"/>
    <w:rsid w:val="000A68BE"/>
    <w:rsid w:val="000B35F1"/>
    <w:rsid w:val="000B406C"/>
    <w:rsid w:val="000B5AE1"/>
    <w:rsid w:val="000B77B0"/>
    <w:rsid w:val="000C0393"/>
    <w:rsid w:val="000C0B4C"/>
    <w:rsid w:val="000C20DD"/>
    <w:rsid w:val="000C4655"/>
    <w:rsid w:val="000C488A"/>
    <w:rsid w:val="000C4A3D"/>
    <w:rsid w:val="000C4AC3"/>
    <w:rsid w:val="000C62B2"/>
    <w:rsid w:val="000D02F6"/>
    <w:rsid w:val="000D1D55"/>
    <w:rsid w:val="000D2817"/>
    <w:rsid w:val="000D32E8"/>
    <w:rsid w:val="000E0EAF"/>
    <w:rsid w:val="000E6EF2"/>
    <w:rsid w:val="000F3980"/>
    <w:rsid w:val="000F4243"/>
    <w:rsid w:val="000F4FA3"/>
    <w:rsid w:val="000F5294"/>
    <w:rsid w:val="000F5459"/>
    <w:rsid w:val="000F5990"/>
    <w:rsid w:val="00100B42"/>
    <w:rsid w:val="00100F55"/>
    <w:rsid w:val="00104D65"/>
    <w:rsid w:val="0010762C"/>
    <w:rsid w:val="00110488"/>
    <w:rsid w:val="001136A5"/>
    <w:rsid w:val="00124572"/>
    <w:rsid w:val="0012746B"/>
    <w:rsid w:val="00130207"/>
    <w:rsid w:val="001328F1"/>
    <w:rsid w:val="001328F5"/>
    <w:rsid w:val="00135AAE"/>
    <w:rsid w:val="00137D38"/>
    <w:rsid w:val="0014440C"/>
    <w:rsid w:val="00145643"/>
    <w:rsid w:val="00147C9B"/>
    <w:rsid w:val="00147E0C"/>
    <w:rsid w:val="00151591"/>
    <w:rsid w:val="00152E13"/>
    <w:rsid w:val="00152F76"/>
    <w:rsid w:val="00155162"/>
    <w:rsid w:val="001579B0"/>
    <w:rsid w:val="00157DDB"/>
    <w:rsid w:val="001608EB"/>
    <w:rsid w:val="00161BCC"/>
    <w:rsid w:val="00162034"/>
    <w:rsid w:val="0017023D"/>
    <w:rsid w:val="00170379"/>
    <w:rsid w:val="001720D9"/>
    <w:rsid w:val="00174C19"/>
    <w:rsid w:val="00175B20"/>
    <w:rsid w:val="00175EAA"/>
    <w:rsid w:val="0017696E"/>
    <w:rsid w:val="001779AB"/>
    <w:rsid w:val="00191A82"/>
    <w:rsid w:val="001946F6"/>
    <w:rsid w:val="00196F7A"/>
    <w:rsid w:val="001A2085"/>
    <w:rsid w:val="001A3493"/>
    <w:rsid w:val="001A53DE"/>
    <w:rsid w:val="001A6010"/>
    <w:rsid w:val="001A76DB"/>
    <w:rsid w:val="001A7B1A"/>
    <w:rsid w:val="001B2FD9"/>
    <w:rsid w:val="001B5D69"/>
    <w:rsid w:val="001B72AC"/>
    <w:rsid w:val="001C10E9"/>
    <w:rsid w:val="001C232C"/>
    <w:rsid w:val="001C4D57"/>
    <w:rsid w:val="001C534D"/>
    <w:rsid w:val="001C6BDE"/>
    <w:rsid w:val="001C7EE2"/>
    <w:rsid w:val="001D1CE9"/>
    <w:rsid w:val="001D4FBB"/>
    <w:rsid w:val="001D6AAD"/>
    <w:rsid w:val="001E60F9"/>
    <w:rsid w:val="001F0349"/>
    <w:rsid w:val="001F1C1B"/>
    <w:rsid w:val="001F604C"/>
    <w:rsid w:val="00200EDB"/>
    <w:rsid w:val="00205F33"/>
    <w:rsid w:val="00206364"/>
    <w:rsid w:val="00211120"/>
    <w:rsid w:val="00211503"/>
    <w:rsid w:val="002164B0"/>
    <w:rsid w:val="00216D72"/>
    <w:rsid w:val="00221ECA"/>
    <w:rsid w:val="00224E0C"/>
    <w:rsid w:val="0023071E"/>
    <w:rsid w:val="002308B9"/>
    <w:rsid w:val="00231C22"/>
    <w:rsid w:val="002341D9"/>
    <w:rsid w:val="002370BD"/>
    <w:rsid w:val="00245C4C"/>
    <w:rsid w:val="00254658"/>
    <w:rsid w:val="00260E62"/>
    <w:rsid w:val="002619DE"/>
    <w:rsid w:val="00264072"/>
    <w:rsid w:val="00265057"/>
    <w:rsid w:val="002703FF"/>
    <w:rsid w:val="002715B0"/>
    <w:rsid w:val="0027182F"/>
    <w:rsid w:val="00272CB8"/>
    <w:rsid w:val="00273E3C"/>
    <w:rsid w:val="002741C2"/>
    <w:rsid w:val="00276E2C"/>
    <w:rsid w:val="002773B5"/>
    <w:rsid w:val="0028377B"/>
    <w:rsid w:val="00283C46"/>
    <w:rsid w:val="00283ED3"/>
    <w:rsid w:val="00285501"/>
    <w:rsid w:val="00286402"/>
    <w:rsid w:val="0028697C"/>
    <w:rsid w:val="00287802"/>
    <w:rsid w:val="00292C9D"/>
    <w:rsid w:val="0029403D"/>
    <w:rsid w:val="002940AF"/>
    <w:rsid w:val="00296D9A"/>
    <w:rsid w:val="00296F26"/>
    <w:rsid w:val="002A0B94"/>
    <w:rsid w:val="002A125A"/>
    <w:rsid w:val="002A1C1F"/>
    <w:rsid w:val="002A2E49"/>
    <w:rsid w:val="002A5A4F"/>
    <w:rsid w:val="002A65D6"/>
    <w:rsid w:val="002A68BE"/>
    <w:rsid w:val="002B068C"/>
    <w:rsid w:val="002B3142"/>
    <w:rsid w:val="002B31AF"/>
    <w:rsid w:val="002B5C7E"/>
    <w:rsid w:val="002B7D60"/>
    <w:rsid w:val="002C488D"/>
    <w:rsid w:val="002C7D10"/>
    <w:rsid w:val="002D0BBE"/>
    <w:rsid w:val="002D0D37"/>
    <w:rsid w:val="002D3343"/>
    <w:rsid w:val="002D44B1"/>
    <w:rsid w:val="002D5803"/>
    <w:rsid w:val="002E0467"/>
    <w:rsid w:val="002E0657"/>
    <w:rsid w:val="002E13A6"/>
    <w:rsid w:val="002E14C6"/>
    <w:rsid w:val="002E2068"/>
    <w:rsid w:val="002F082B"/>
    <w:rsid w:val="002F3C48"/>
    <w:rsid w:val="002F4140"/>
    <w:rsid w:val="002F4422"/>
    <w:rsid w:val="00301432"/>
    <w:rsid w:val="00302C4B"/>
    <w:rsid w:val="003030A1"/>
    <w:rsid w:val="00310C27"/>
    <w:rsid w:val="00312BE2"/>
    <w:rsid w:val="00313799"/>
    <w:rsid w:val="00317712"/>
    <w:rsid w:val="00320266"/>
    <w:rsid w:val="00320FC3"/>
    <w:rsid w:val="0033234C"/>
    <w:rsid w:val="00332FA7"/>
    <w:rsid w:val="00335FB7"/>
    <w:rsid w:val="003373DE"/>
    <w:rsid w:val="00337414"/>
    <w:rsid w:val="00342658"/>
    <w:rsid w:val="00343289"/>
    <w:rsid w:val="00351FFF"/>
    <w:rsid w:val="00352BFB"/>
    <w:rsid w:val="003544B4"/>
    <w:rsid w:val="00356461"/>
    <w:rsid w:val="00356683"/>
    <w:rsid w:val="00356987"/>
    <w:rsid w:val="003575D9"/>
    <w:rsid w:val="003620DB"/>
    <w:rsid w:val="003636C0"/>
    <w:rsid w:val="00365B01"/>
    <w:rsid w:val="00366B98"/>
    <w:rsid w:val="00372EC1"/>
    <w:rsid w:val="0037449B"/>
    <w:rsid w:val="003744B4"/>
    <w:rsid w:val="00381832"/>
    <w:rsid w:val="00381CCE"/>
    <w:rsid w:val="00382FF8"/>
    <w:rsid w:val="00387228"/>
    <w:rsid w:val="003920B0"/>
    <w:rsid w:val="00392B28"/>
    <w:rsid w:val="003970FB"/>
    <w:rsid w:val="003A3182"/>
    <w:rsid w:val="003A3C90"/>
    <w:rsid w:val="003A3D99"/>
    <w:rsid w:val="003A45E1"/>
    <w:rsid w:val="003A4D4C"/>
    <w:rsid w:val="003A5BD0"/>
    <w:rsid w:val="003B1A71"/>
    <w:rsid w:val="003B3186"/>
    <w:rsid w:val="003B5A53"/>
    <w:rsid w:val="003C0611"/>
    <w:rsid w:val="003C11A6"/>
    <w:rsid w:val="003C2211"/>
    <w:rsid w:val="003D272D"/>
    <w:rsid w:val="003D2EF7"/>
    <w:rsid w:val="003D3C03"/>
    <w:rsid w:val="003D4373"/>
    <w:rsid w:val="003F0DEE"/>
    <w:rsid w:val="003F1666"/>
    <w:rsid w:val="00407711"/>
    <w:rsid w:val="0040773D"/>
    <w:rsid w:val="00414D50"/>
    <w:rsid w:val="00415FD7"/>
    <w:rsid w:val="0042046B"/>
    <w:rsid w:val="00422479"/>
    <w:rsid w:val="00422724"/>
    <w:rsid w:val="0042298A"/>
    <w:rsid w:val="004238A2"/>
    <w:rsid w:val="00423DB1"/>
    <w:rsid w:val="004272D0"/>
    <w:rsid w:val="00430BDD"/>
    <w:rsid w:val="00431FC9"/>
    <w:rsid w:val="00434F7D"/>
    <w:rsid w:val="004355E3"/>
    <w:rsid w:val="00445209"/>
    <w:rsid w:val="00453B4C"/>
    <w:rsid w:val="00455B75"/>
    <w:rsid w:val="004603A0"/>
    <w:rsid w:val="00460744"/>
    <w:rsid w:val="00463C4E"/>
    <w:rsid w:val="004644D5"/>
    <w:rsid w:val="0046511F"/>
    <w:rsid w:val="00466A12"/>
    <w:rsid w:val="00467567"/>
    <w:rsid w:val="00470418"/>
    <w:rsid w:val="00471849"/>
    <w:rsid w:val="00473D01"/>
    <w:rsid w:val="00474222"/>
    <w:rsid w:val="004758F8"/>
    <w:rsid w:val="00475EBA"/>
    <w:rsid w:val="004812A7"/>
    <w:rsid w:val="004821B4"/>
    <w:rsid w:val="004836ED"/>
    <w:rsid w:val="00485966"/>
    <w:rsid w:val="00486F58"/>
    <w:rsid w:val="0048743C"/>
    <w:rsid w:val="00491F12"/>
    <w:rsid w:val="00494098"/>
    <w:rsid w:val="004942E6"/>
    <w:rsid w:val="004A098B"/>
    <w:rsid w:val="004A13B7"/>
    <w:rsid w:val="004A2148"/>
    <w:rsid w:val="004A3BC9"/>
    <w:rsid w:val="004A4FD0"/>
    <w:rsid w:val="004B0E52"/>
    <w:rsid w:val="004B1C84"/>
    <w:rsid w:val="004B282C"/>
    <w:rsid w:val="004B5095"/>
    <w:rsid w:val="004B570F"/>
    <w:rsid w:val="004B6B0C"/>
    <w:rsid w:val="004C38CC"/>
    <w:rsid w:val="004C41C8"/>
    <w:rsid w:val="004C5150"/>
    <w:rsid w:val="004C6031"/>
    <w:rsid w:val="004C63CF"/>
    <w:rsid w:val="004D0D50"/>
    <w:rsid w:val="004D1828"/>
    <w:rsid w:val="004D1B14"/>
    <w:rsid w:val="004D1F2F"/>
    <w:rsid w:val="004D2A1F"/>
    <w:rsid w:val="004D338E"/>
    <w:rsid w:val="004D35A4"/>
    <w:rsid w:val="004D50C8"/>
    <w:rsid w:val="004E3D46"/>
    <w:rsid w:val="004E3D6E"/>
    <w:rsid w:val="004E3F18"/>
    <w:rsid w:val="004E49FA"/>
    <w:rsid w:val="004E4E7D"/>
    <w:rsid w:val="004E64C9"/>
    <w:rsid w:val="004E7571"/>
    <w:rsid w:val="004E793D"/>
    <w:rsid w:val="004F2345"/>
    <w:rsid w:val="004F2E28"/>
    <w:rsid w:val="00503FA3"/>
    <w:rsid w:val="00506301"/>
    <w:rsid w:val="0051709E"/>
    <w:rsid w:val="00521D3E"/>
    <w:rsid w:val="00525DF3"/>
    <w:rsid w:val="00526FBD"/>
    <w:rsid w:val="00527BBC"/>
    <w:rsid w:val="00527EEB"/>
    <w:rsid w:val="00530BA1"/>
    <w:rsid w:val="00531606"/>
    <w:rsid w:val="00532ED0"/>
    <w:rsid w:val="005349FF"/>
    <w:rsid w:val="00534C44"/>
    <w:rsid w:val="00535CEF"/>
    <w:rsid w:val="005360E3"/>
    <w:rsid w:val="00536FE3"/>
    <w:rsid w:val="00537C4C"/>
    <w:rsid w:val="005419A6"/>
    <w:rsid w:val="00550CDC"/>
    <w:rsid w:val="00551BA2"/>
    <w:rsid w:val="00551F5B"/>
    <w:rsid w:val="00552AD8"/>
    <w:rsid w:val="00554239"/>
    <w:rsid w:val="00557770"/>
    <w:rsid w:val="0056008C"/>
    <w:rsid w:val="00565CBC"/>
    <w:rsid w:val="00570159"/>
    <w:rsid w:val="00570766"/>
    <w:rsid w:val="00574260"/>
    <w:rsid w:val="00574F10"/>
    <w:rsid w:val="00575C45"/>
    <w:rsid w:val="005763C4"/>
    <w:rsid w:val="00587794"/>
    <w:rsid w:val="005918A5"/>
    <w:rsid w:val="00594EF1"/>
    <w:rsid w:val="00596CD7"/>
    <w:rsid w:val="0059717E"/>
    <w:rsid w:val="005A02D1"/>
    <w:rsid w:val="005A05F5"/>
    <w:rsid w:val="005A1015"/>
    <w:rsid w:val="005A1A14"/>
    <w:rsid w:val="005A68D4"/>
    <w:rsid w:val="005C0938"/>
    <w:rsid w:val="005C1C6D"/>
    <w:rsid w:val="005C224C"/>
    <w:rsid w:val="005C52B7"/>
    <w:rsid w:val="005C52F0"/>
    <w:rsid w:val="005C59E2"/>
    <w:rsid w:val="005C73B1"/>
    <w:rsid w:val="005C7E46"/>
    <w:rsid w:val="005D32C9"/>
    <w:rsid w:val="005D3B0A"/>
    <w:rsid w:val="005D4F45"/>
    <w:rsid w:val="005D733A"/>
    <w:rsid w:val="005E15EC"/>
    <w:rsid w:val="005F330B"/>
    <w:rsid w:val="005F3943"/>
    <w:rsid w:val="005F4061"/>
    <w:rsid w:val="005F5499"/>
    <w:rsid w:val="005F636E"/>
    <w:rsid w:val="005F683C"/>
    <w:rsid w:val="005F6890"/>
    <w:rsid w:val="005F77F5"/>
    <w:rsid w:val="00602148"/>
    <w:rsid w:val="00602251"/>
    <w:rsid w:val="0060226F"/>
    <w:rsid w:val="006047F7"/>
    <w:rsid w:val="00604E97"/>
    <w:rsid w:val="00605896"/>
    <w:rsid w:val="00605A32"/>
    <w:rsid w:val="006062F6"/>
    <w:rsid w:val="00607E5A"/>
    <w:rsid w:val="00610F12"/>
    <w:rsid w:val="006124B5"/>
    <w:rsid w:val="006128B0"/>
    <w:rsid w:val="00612E7C"/>
    <w:rsid w:val="00614347"/>
    <w:rsid w:val="006148AA"/>
    <w:rsid w:val="00614E01"/>
    <w:rsid w:val="0062131D"/>
    <w:rsid w:val="00623858"/>
    <w:rsid w:val="0062501F"/>
    <w:rsid w:val="006252CB"/>
    <w:rsid w:val="006275E1"/>
    <w:rsid w:val="00636109"/>
    <w:rsid w:val="006366AE"/>
    <w:rsid w:val="00636F5A"/>
    <w:rsid w:val="0063708A"/>
    <w:rsid w:val="006400C3"/>
    <w:rsid w:val="00641092"/>
    <w:rsid w:val="00641E34"/>
    <w:rsid w:val="00642BD9"/>
    <w:rsid w:val="0064327A"/>
    <w:rsid w:val="00646FDB"/>
    <w:rsid w:val="0064748D"/>
    <w:rsid w:val="006502F2"/>
    <w:rsid w:val="00651FD5"/>
    <w:rsid w:val="006546A7"/>
    <w:rsid w:val="006628FF"/>
    <w:rsid w:val="00665379"/>
    <w:rsid w:val="006670EB"/>
    <w:rsid w:val="00667AE3"/>
    <w:rsid w:val="0067250F"/>
    <w:rsid w:val="00674A26"/>
    <w:rsid w:val="00675ED5"/>
    <w:rsid w:val="00676100"/>
    <w:rsid w:val="00682D2A"/>
    <w:rsid w:val="00686437"/>
    <w:rsid w:val="006871EC"/>
    <w:rsid w:val="00691233"/>
    <w:rsid w:val="006914F4"/>
    <w:rsid w:val="00691895"/>
    <w:rsid w:val="00695ACA"/>
    <w:rsid w:val="00695D6E"/>
    <w:rsid w:val="00696525"/>
    <w:rsid w:val="00696B24"/>
    <w:rsid w:val="006A165F"/>
    <w:rsid w:val="006A3008"/>
    <w:rsid w:val="006A699B"/>
    <w:rsid w:val="006B1BFE"/>
    <w:rsid w:val="006B281F"/>
    <w:rsid w:val="006B4C21"/>
    <w:rsid w:val="006B62A0"/>
    <w:rsid w:val="006C1D41"/>
    <w:rsid w:val="006C3351"/>
    <w:rsid w:val="006C39A9"/>
    <w:rsid w:val="006C451C"/>
    <w:rsid w:val="006C4A89"/>
    <w:rsid w:val="006C58FA"/>
    <w:rsid w:val="006C5DE0"/>
    <w:rsid w:val="006D68F8"/>
    <w:rsid w:val="006D76E9"/>
    <w:rsid w:val="006E08FF"/>
    <w:rsid w:val="006E55E6"/>
    <w:rsid w:val="006E7516"/>
    <w:rsid w:val="006F3CF8"/>
    <w:rsid w:val="00700435"/>
    <w:rsid w:val="007026D6"/>
    <w:rsid w:val="00702B24"/>
    <w:rsid w:val="00707B42"/>
    <w:rsid w:val="00713767"/>
    <w:rsid w:val="00713F54"/>
    <w:rsid w:val="00714DD7"/>
    <w:rsid w:val="00725282"/>
    <w:rsid w:val="00726D20"/>
    <w:rsid w:val="007357AC"/>
    <w:rsid w:val="00737BE9"/>
    <w:rsid w:val="007420F7"/>
    <w:rsid w:val="00752A99"/>
    <w:rsid w:val="00753B3E"/>
    <w:rsid w:val="00753D16"/>
    <w:rsid w:val="00757126"/>
    <w:rsid w:val="00760FA9"/>
    <w:rsid w:val="00762686"/>
    <w:rsid w:val="00765A98"/>
    <w:rsid w:val="007667BD"/>
    <w:rsid w:val="00767833"/>
    <w:rsid w:val="007760D8"/>
    <w:rsid w:val="007764B7"/>
    <w:rsid w:val="00776ABF"/>
    <w:rsid w:val="00782AEC"/>
    <w:rsid w:val="00785922"/>
    <w:rsid w:val="00787BD6"/>
    <w:rsid w:val="007909D1"/>
    <w:rsid w:val="00793BB0"/>
    <w:rsid w:val="007961F8"/>
    <w:rsid w:val="007965E5"/>
    <w:rsid w:val="007A197D"/>
    <w:rsid w:val="007A1C91"/>
    <w:rsid w:val="007A1E8E"/>
    <w:rsid w:val="007B086A"/>
    <w:rsid w:val="007B4426"/>
    <w:rsid w:val="007B5EB3"/>
    <w:rsid w:val="007B7C46"/>
    <w:rsid w:val="007B7DFF"/>
    <w:rsid w:val="007C00A2"/>
    <w:rsid w:val="007C1314"/>
    <w:rsid w:val="007C20CD"/>
    <w:rsid w:val="007C6B05"/>
    <w:rsid w:val="007C7802"/>
    <w:rsid w:val="007D19D5"/>
    <w:rsid w:val="007D5117"/>
    <w:rsid w:val="007D7100"/>
    <w:rsid w:val="007D717C"/>
    <w:rsid w:val="007E53A7"/>
    <w:rsid w:val="007E73F3"/>
    <w:rsid w:val="007E791C"/>
    <w:rsid w:val="007F0AE6"/>
    <w:rsid w:val="007F2A1E"/>
    <w:rsid w:val="007F68F4"/>
    <w:rsid w:val="00804797"/>
    <w:rsid w:val="00805716"/>
    <w:rsid w:val="00806252"/>
    <w:rsid w:val="00812832"/>
    <w:rsid w:val="00813DD5"/>
    <w:rsid w:val="00813E71"/>
    <w:rsid w:val="008158EE"/>
    <w:rsid w:val="00816243"/>
    <w:rsid w:val="00816F79"/>
    <w:rsid w:val="008236EC"/>
    <w:rsid w:val="00826335"/>
    <w:rsid w:val="00830D5F"/>
    <w:rsid w:val="00832285"/>
    <w:rsid w:val="0083334D"/>
    <w:rsid w:val="00833926"/>
    <w:rsid w:val="00836528"/>
    <w:rsid w:val="00841DFF"/>
    <w:rsid w:val="0084747B"/>
    <w:rsid w:val="008505B3"/>
    <w:rsid w:val="00852C7D"/>
    <w:rsid w:val="00853AAE"/>
    <w:rsid w:val="008608CA"/>
    <w:rsid w:val="008622C1"/>
    <w:rsid w:val="008633BF"/>
    <w:rsid w:val="00864494"/>
    <w:rsid w:val="00864E85"/>
    <w:rsid w:val="008656C8"/>
    <w:rsid w:val="00866CFE"/>
    <w:rsid w:val="00870234"/>
    <w:rsid w:val="008703D6"/>
    <w:rsid w:val="0087125D"/>
    <w:rsid w:val="00872ABD"/>
    <w:rsid w:val="0087462A"/>
    <w:rsid w:val="00874BDA"/>
    <w:rsid w:val="00877B5F"/>
    <w:rsid w:val="00882C08"/>
    <w:rsid w:val="00885AFC"/>
    <w:rsid w:val="008864C8"/>
    <w:rsid w:val="00887CBB"/>
    <w:rsid w:val="00890527"/>
    <w:rsid w:val="00893936"/>
    <w:rsid w:val="00895174"/>
    <w:rsid w:val="00895CE6"/>
    <w:rsid w:val="008A03A4"/>
    <w:rsid w:val="008A3D94"/>
    <w:rsid w:val="008B0B9C"/>
    <w:rsid w:val="008B0FA6"/>
    <w:rsid w:val="008B5234"/>
    <w:rsid w:val="008B737B"/>
    <w:rsid w:val="008C1347"/>
    <w:rsid w:val="008C285D"/>
    <w:rsid w:val="008C68A7"/>
    <w:rsid w:val="008D09B0"/>
    <w:rsid w:val="008D4119"/>
    <w:rsid w:val="008D4FEE"/>
    <w:rsid w:val="008D6159"/>
    <w:rsid w:val="008D6C6F"/>
    <w:rsid w:val="008E04C3"/>
    <w:rsid w:val="008E191C"/>
    <w:rsid w:val="008E19D9"/>
    <w:rsid w:val="008E4748"/>
    <w:rsid w:val="008E63F1"/>
    <w:rsid w:val="008E7FA7"/>
    <w:rsid w:val="008F455D"/>
    <w:rsid w:val="00901537"/>
    <w:rsid w:val="00903FAD"/>
    <w:rsid w:val="00911D8B"/>
    <w:rsid w:val="00917336"/>
    <w:rsid w:val="00923DA5"/>
    <w:rsid w:val="009242FF"/>
    <w:rsid w:val="00925C41"/>
    <w:rsid w:val="0092613C"/>
    <w:rsid w:val="009262CF"/>
    <w:rsid w:val="00930724"/>
    <w:rsid w:val="00932F59"/>
    <w:rsid w:val="0093480A"/>
    <w:rsid w:val="00936AF6"/>
    <w:rsid w:val="009465AA"/>
    <w:rsid w:val="00946B07"/>
    <w:rsid w:val="009528AD"/>
    <w:rsid w:val="0095404A"/>
    <w:rsid w:val="009603FB"/>
    <w:rsid w:val="00963DDA"/>
    <w:rsid w:val="009648CB"/>
    <w:rsid w:val="00971064"/>
    <w:rsid w:val="00971527"/>
    <w:rsid w:val="0097248C"/>
    <w:rsid w:val="00972B03"/>
    <w:rsid w:val="00972D8B"/>
    <w:rsid w:val="00975291"/>
    <w:rsid w:val="0097669F"/>
    <w:rsid w:val="00976773"/>
    <w:rsid w:val="009824E2"/>
    <w:rsid w:val="0098418E"/>
    <w:rsid w:val="00984F08"/>
    <w:rsid w:val="00986A40"/>
    <w:rsid w:val="009871D0"/>
    <w:rsid w:val="00992906"/>
    <w:rsid w:val="00995074"/>
    <w:rsid w:val="00995B0E"/>
    <w:rsid w:val="009979B1"/>
    <w:rsid w:val="009A285D"/>
    <w:rsid w:val="009A483A"/>
    <w:rsid w:val="009A77F4"/>
    <w:rsid w:val="009A7F5C"/>
    <w:rsid w:val="009B7994"/>
    <w:rsid w:val="009C03FE"/>
    <w:rsid w:val="009C11B3"/>
    <w:rsid w:val="009C26E0"/>
    <w:rsid w:val="009C4093"/>
    <w:rsid w:val="009C5C3A"/>
    <w:rsid w:val="009C61C5"/>
    <w:rsid w:val="009D01E1"/>
    <w:rsid w:val="009D4B76"/>
    <w:rsid w:val="009D5E76"/>
    <w:rsid w:val="009E1EEC"/>
    <w:rsid w:val="009E2890"/>
    <w:rsid w:val="009E2D86"/>
    <w:rsid w:val="009E2F3D"/>
    <w:rsid w:val="009E2F53"/>
    <w:rsid w:val="009E4081"/>
    <w:rsid w:val="009E561A"/>
    <w:rsid w:val="009E7783"/>
    <w:rsid w:val="009E7CBF"/>
    <w:rsid w:val="009F0D34"/>
    <w:rsid w:val="009F1305"/>
    <w:rsid w:val="009F2B91"/>
    <w:rsid w:val="009F579D"/>
    <w:rsid w:val="009F7257"/>
    <w:rsid w:val="00A05B9F"/>
    <w:rsid w:val="00A13B01"/>
    <w:rsid w:val="00A14C3F"/>
    <w:rsid w:val="00A15C3D"/>
    <w:rsid w:val="00A17EE6"/>
    <w:rsid w:val="00A257BA"/>
    <w:rsid w:val="00A3162D"/>
    <w:rsid w:val="00A32848"/>
    <w:rsid w:val="00A3435B"/>
    <w:rsid w:val="00A34753"/>
    <w:rsid w:val="00A4099D"/>
    <w:rsid w:val="00A416DD"/>
    <w:rsid w:val="00A41AB9"/>
    <w:rsid w:val="00A43500"/>
    <w:rsid w:val="00A43EF7"/>
    <w:rsid w:val="00A44A4C"/>
    <w:rsid w:val="00A457DF"/>
    <w:rsid w:val="00A46321"/>
    <w:rsid w:val="00A46E1E"/>
    <w:rsid w:val="00A51AA0"/>
    <w:rsid w:val="00A52C49"/>
    <w:rsid w:val="00A534A7"/>
    <w:rsid w:val="00A5369C"/>
    <w:rsid w:val="00A57E7A"/>
    <w:rsid w:val="00A60E94"/>
    <w:rsid w:val="00A61A07"/>
    <w:rsid w:val="00A64FA4"/>
    <w:rsid w:val="00A70A0A"/>
    <w:rsid w:val="00A70C4E"/>
    <w:rsid w:val="00A73D4A"/>
    <w:rsid w:val="00A75F2B"/>
    <w:rsid w:val="00A80682"/>
    <w:rsid w:val="00A81EBD"/>
    <w:rsid w:val="00A85097"/>
    <w:rsid w:val="00A869F6"/>
    <w:rsid w:val="00A8766D"/>
    <w:rsid w:val="00A915EB"/>
    <w:rsid w:val="00A91B93"/>
    <w:rsid w:val="00A94EB3"/>
    <w:rsid w:val="00A97D86"/>
    <w:rsid w:val="00AA4105"/>
    <w:rsid w:val="00AA4629"/>
    <w:rsid w:val="00AB10CC"/>
    <w:rsid w:val="00AB269E"/>
    <w:rsid w:val="00AB4B92"/>
    <w:rsid w:val="00AB68D4"/>
    <w:rsid w:val="00AB6B78"/>
    <w:rsid w:val="00AB72C4"/>
    <w:rsid w:val="00AB7A3B"/>
    <w:rsid w:val="00AC00C1"/>
    <w:rsid w:val="00AC0FA5"/>
    <w:rsid w:val="00AC2F86"/>
    <w:rsid w:val="00AC6D71"/>
    <w:rsid w:val="00AD1302"/>
    <w:rsid w:val="00AD4941"/>
    <w:rsid w:val="00AD6932"/>
    <w:rsid w:val="00AD6F5E"/>
    <w:rsid w:val="00AE0C30"/>
    <w:rsid w:val="00AE15EE"/>
    <w:rsid w:val="00AE30BD"/>
    <w:rsid w:val="00AF0473"/>
    <w:rsid w:val="00AF1983"/>
    <w:rsid w:val="00AF3E71"/>
    <w:rsid w:val="00AF6558"/>
    <w:rsid w:val="00B017C7"/>
    <w:rsid w:val="00B03123"/>
    <w:rsid w:val="00B033A6"/>
    <w:rsid w:val="00B03460"/>
    <w:rsid w:val="00B04DBC"/>
    <w:rsid w:val="00B06E25"/>
    <w:rsid w:val="00B07572"/>
    <w:rsid w:val="00B1297E"/>
    <w:rsid w:val="00B1315D"/>
    <w:rsid w:val="00B13FD0"/>
    <w:rsid w:val="00B16A57"/>
    <w:rsid w:val="00B24BC9"/>
    <w:rsid w:val="00B303B2"/>
    <w:rsid w:val="00B33C0B"/>
    <w:rsid w:val="00B44988"/>
    <w:rsid w:val="00B46800"/>
    <w:rsid w:val="00B47B0D"/>
    <w:rsid w:val="00B504E7"/>
    <w:rsid w:val="00B5155A"/>
    <w:rsid w:val="00B53622"/>
    <w:rsid w:val="00B57390"/>
    <w:rsid w:val="00B6074E"/>
    <w:rsid w:val="00B6144E"/>
    <w:rsid w:val="00B626AD"/>
    <w:rsid w:val="00B62AAD"/>
    <w:rsid w:val="00B64001"/>
    <w:rsid w:val="00B701E1"/>
    <w:rsid w:val="00B73809"/>
    <w:rsid w:val="00B748D0"/>
    <w:rsid w:val="00B75826"/>
    <w:rsid w:val="00B75F0D"/>
    <w:rsid w:val="00B80AA4"/>
    <w:rsid w:val="00B819E6"/>
    <w:rsid w:val="00B83103"/>
    <w:rsid w:val="00B83C6B"/>
    <w:rsid w:val="00B86300"/>
    <w:rsid w:val="00B900AD"/>
    <w:rsid w:val="00B92B97"/>
    <w:rsid w:val="00B96C5A"/>
    <w:rsid w:val="00BA0057"/>
    <w:rsid w:val="00BA03B2"/>
    <w:rsid w:val="00BA09E3"/>
    <w:rsid w:val="00BA3B23"/>
    <w:rsid w:val="00BA70EE"/>
    <w:rsid w:val="00BA7231"/>
    <w:rsid w:val="00BB1E29"/>
    <w:rsid w:val="00BB2075"/>
    <w:rsid w:val="00BB318C"/>
    <w:rsid w:val="00BB482B"/>
    <w:rsid w:val="00BB50EE"/>
    <w:rsid w:val="00BB6432"/>
    <w:rsid w:val="00BB7E0B"/>
    <w:rsid w:val="00BC1B44"/>
    <w:rsid w:val="00BC68CF"/>
    <w:rsid w:val="00BC6CCC"/>
    <w:rsid w:val="00BC7403"/>
    <w:rsid w:val="00BD3023"/>
    <w:rsid w:val="00BD3F00"/>
    <w:rsid w:val="00BD4EF3"/>
    <w:rsid w:val="00BD59CC"/>
    <w:rsid w:val="00BD6C38"/>
    <w:rsid w:val="00BE2D15"/>
    <w:rsid w:val="00BE79A4"/>
    <w:rsid w:val="00BF5EEE"/>
    <w:rsid w:val="00C02622"/>
    <w:rsid w:val="00C02D6B"/>
    <w:rsid w:val="00C03531"/>
    <w:rsid w:val="00C03D08"/>
    <w:rsid w:val="00C04DCD"/>
    <w:rsid w:val="00C065C2"/>
    <w:rsid w:val="00C125B4"/>
    <w:rsid w:val="00C1658D"/>
    <w:rsid w:val="00C218BA"/>
    <w:rsid w:val="00C27431"/>
    <w:rsid w:val="00C31DA1"/>
    <w:rsid w:val="00C32638"/>
    <w:rsid w:val="00C32B33"/>
    <w:rsid w:val="00C3716F"/>
    <w:rsid w:val="00C407D3"/>
    <w:rsid w:val="00C416C8"/>
    <w:rsid w:val="00C41E4B"/>
    <w:rsid w:val="00C4374F"/>
    <w:rsid w:val="00C4673D"/>
    <w:rsid w:val="00C473F5"/>
    <w:rsid w:val="00C476C9"/>
    <w:rsid w:val="00C539D4"/>
    <w:rsid w:val="00C53FCF"/>
    <w:rsid w:val="00C55A56"/>
    <w:rsid w:val="00C57571"/>
    <w:rsid w:val="00C62F03"/>
    <w:rsid w:val="00C647CB"/>
    <w:rsid w:val="00C6536C"/>
    <w:rsid w:val="00C6593D"/>
    <w:rsid w:val="00C712AC"/>
    <w:rsid w:val="00C72592"/>
    <w:rsid w:val="00C72CD6"/>
    <w:rsid w:val="00C72D66"/>
    <w:rsid w:val="00C74345"/>
    <w:rsid w:val="00C75683"/>
    <w:rsid w:val="00C7646B"/>
    <w:rsid w:val="00C800CC"/>
    <w:rsid w:val="00C81F0C"/>
    <w:rsid w:val="00C82326"/>
    <w:rsid w:val="00C82D0E"/>
    <w:rsid w:val="00C8605C"/>
    <w:rsid w:val="00C86B9B"/>
    <w:rsid w:val="00C92190"/>
    <w:rsid w:val="00C95A3B"/>
    <w:rsid w:val="00CA485C"/>
    <w:rsid w:val="00CA5860"/>
    <w:rsid w:val="00CA6236"/>
    <w:rsid w:val="00CB0EA0"/>
    <w:rsid w:val="00CB1448"/>
    <w:rsid w:val="00CB1808"/>
    <w:rsid w:val="00CB6956"/>
    <w:rsid w:val="00CB7014"/>
    <w:rsid w:val="00CB7F16"/>
    <w:rsid w:val="00CC33F9"/>
    <w:rsid w:val="00CD065C"/>
    <w:rsid w:val="00CD1A77"/>
    <w:rsid w:val="00CD23F1"/>
    <w:rsid w:val="00CD31A5"/>
    <w:rsid w:val="00CD38E0"/>
    <w:rsid w:val="00CD4484"/>
    <w:rsid w:val="00CD4EED"/>
    <w:rsid w:val="00CE015D"/>
    <w:rsid w:val="00CE02C1"/>
    <w:rsid w:val="00CE1216"/>
    <w:rsid w:val="00CE7911"/>
    <w:rsid w:val="00CE7D95"/>
    <w:rsid w:val="00CF25D2"/>
    <w:rsid w:val="00CF29BD"/>
    <w:rsid w:val="00CF32A1"/>
    <w:rsid w:val="00CF344A"/>
    <w:rsid w:val="00CF46C6"/>
    <w:rsid w:val="00CF57E7"/>
    <w:rsid w:val="00D00932"/>
    <w:rsid w:val="00D01A8F"/>
    <w:rsid w:val="00D027BD"/>
    <w:rsid w:val="00D04240"/>
    <w:rsid w:val="00D046EE"/>
    <w:rsid w:val="00D06031"/>
    <w:rsid w:val="00D06838"/>
    <w:rsid w:val="00D2165D"/>
    <w:rsid w:val="00D23DB8"/>
    <w:rsid w:val="00D262AF"/>
    <w:rsid w:val="00D40AFF"/>
    <w:rsid w:val="00D41CF5"/>
    <w:rsid w:val="00D42297"/>
    <w:rsid w:val="00D442E4"/>
    <w:rsid w:val="00D45889"/>
    <w:rsid w:val="00D47863"/>
    <w:rsid w:val="00D50AEE"/>
    <w:rsid w:val="00D50F7F"/>
    <w:rsid w:val="00D52352"/>
    <w:rsid w:val="00D535BE"/>
    <w:rsid w:val="00D56F2B"/>
    <w:rsid w:val="00D60C3B"/>
    <w:rsid w:val="00D6248A"/>
    <w:rsid w:val="00D7029B"/>
    <w:rsid w:val="00D70C71"/>
    <w:rsid w:val="00D73DB9"/>
    <w:rsid w:val="00D7512C"/>
    <w:rsid w:val="00D755F6"/>
    <w:rsid w:val="00D77878"/>
    <w:rsid w:val="00D84D97"/>
    <w:rsid w:val="00D912C8"/>
    <w:rsid w:val="00D912CC"/>
    <w:rsid w:val="00D937FB"/>
    <w:rsid w:val="00D93E86"/>
    <w:rsid w:val="00D97D97"/>
    <w:rsid w:val="00DA0E87"/>
    <w:rsid w:val="00DA3622"/>
    <w:rsid w:val="00DA3695"/>
    <w:rsid w:val="00DA7B2D"/>
    <w:rsid w:val="00DB0036"/>
    <w:rsid w:val="00DB1053"/>
    <w:rsid w:val="00DB1081"/>
    <w:rsid w:val="00DB12F1"/>
    <w:rsid w:val="00DB1B65"/>
    <w:rsid w:val="00DB262D"/>
    <w:rsid w:val="00DB43BE"/>
    <w:rsid w:val="00DB5C44"/>
    <w:rsid w:val="00DC1ABD"/>
    <w:rsid w:val="00DC2105"/>
    <w:rsid w:val="00DC49A6"/>
    <w:rsid w:val="00DC682E"/>
    <w:rsid w:val="00DD058D"/>
    <w:rsid w:val="00DD072C"/>
    <w:rsid w:val="00DD0E63"/>
    <w:rsid w:val="00DE4D3E"/>
    <w:rsid w:val="00DE7AA2"/>
    <w:rsid w:val="00DF177F"/>
    <w:rsid w:val="00DF2D23"/>
    <w:rsid w:val="00DF6171"/>
    <w:rsid w:val="00DF7855"/>
    <w:rsid w:val="00E02480"/>
    <w:rsid w:val="00E0446B"/>
    <w:rsid w:val="00E04607"/>
    <w:rsid w:val="00E10527"/>
    <w:rsid w:val="00E14A66"/>
    <w:rsid w:val="00E167F6"/>
    <w:rsid w:val="00E175EB"/>
    <w:rsid w:val="00E179AA"/>
    <w:rsid w:val="00E23B01"/>
    <w:rsid w:val="00E23C6A"/>
    <w:rsid w:val="00E2681F"/>
    <w:rsid w:val="00E26B33"/>
    <w:rsid w:val="00E26E06"/>
    <w:rsid w:val="00E3151E"/>
    <w:rsid w:val="00E3723F"/>
    <w:rsid w:val="00E41DFA"/>
    <w:rsid w:val="00E4577A"/>
    <w:rsid w:val="00E52D2C"/>
    <w:rsid w:val="00E5437B"/>
    <w:rsid w:val="00E54486"/>
    <w:rsid w:val="00E54779"/>
    <w:rsid w:val="00E548A7"/>
    <w:rsid w:val="00E56C9E"/>
    <w:rsid w:val="00E56D6E"/>
    <w:rsid w:val="00E5742F"/>
    <w:rsid w:val="00E6093E"/>
    <w:rsid w:val="00E6095C"/>
    <w:rsid w:val="00E64DC2"/>
    <w:rsid w:val="00E676E9"/>
    <w:rsid w:val="00E70F95"/>
    <w:rsid w:val="00E71961"/>
    <w:rsid w:val="00E72C7D"/>
    <w:rsid w:val="00E76D68"/>
    <w:rsid w:val="00E80293"/>
    <w:rsid w:val="00E80FA8"/>
    <w:rsid w:val="00E8213E"/>
    <w:rsid w:val="00E8794A"/>
    <w:rsid w:val="00E917E2"/>
    <w:rsid w:val="00E95681"/>
    <w:rsid w:val="00E967D6"/>
    <w:rsid w:val="00E96C9A"/>
    <w:rsid w:val="00EA7CB1"/>
    <w:rsid w:val="00EB3289"/>
    <w:rsid w:val="00EB4679"/>
    <w:rsid w:val="00EC01E2"/>
    <w:rsid w:val="00EC1127"/>
    <w:rsid w:val="00EC42FB"/>
    <w:rsid w:val="00EC4305"/>
    <w:rsid w:val="00EC4E3C"/>
    <w:rsid w:val="00EC53A4"/>
    <w:rsid w:val="00EC59F2"/>
    <w:rsid w:val="00EC6A46"/>
    <w:rsid w:val="00EC7569"/>
    <w:rsid w:val="00EC7C42"/>
    <w:rsid w:val="00EE1703"/>
    <w:rsid w:val="00EE1D64"/>
    <w:rsid w:val="00EE5D61"/>
    <w:rsid w:val="00EF52F9"/>
    <w:rsid w:val="00EF6694"/>
    <w:rsid w:val="00F00989"/>
    <w:rsid w:val="00F01C8A"/>
    <w:rsid w:val="00F067F4"/>
    <w:rsid w:val="00F07B36"/>
    <w:rsid w:val="00F112C1"/>
    <w:rsid w:val="00F14227"/>
    <w:rsid w:val="00F1605F"/>
    <w:rsid w:val="00F17157"/>
    <w:rsid w:val="00F1750B"/>
    <w:rsid w:val="00F17DC4"/>
    <w:rsid w:val="00F30BF8"/>
    <w:rsid w:val="00F3214F"/>
    <w:rsid w:val="00F34DB4"/>
    <w:rsid w:val="00F35C7B"/>
    <w:rsid w:val="00F37687"/>
    <w:rsid w:val="00F407EA"/>
    <w:rsid w:val="00F41D2B"/>
    <w:rsid w:val="00F429A8"/>
    <w:rsid w:val="00F44B7F"/>
    <w:rsid w:val="00F45276"/>
    <w:rsid w:val="00F46D1E"/>
    <w:rsid w:val="00F53B1B"/>
    <w:rsid w:val="00F551DE"/>
    <w:rsid w:val="00F57C56"/>
    <w:rsid w:val="00F60DAA"/>
    <w:rsid w:val="00F64826"/>
    <w:rsid w:val="00F66D86"/>
    <w:rsid w:val="00F67228"/>
    <w:rsid w:val="00F67F0B"/>
    <w:rsid w:val="00F72439"/>
    <w:rsid w:val="00F730B2"/>
    <w:rsid w:val="00F7325E"/>
    <w:rsid w:val="00F75005"/>
    <w:rsid w:val="00F7638F"/>
    <w:rsid w:val="00F76EC6"/>
    <w:rsid w:val="00F80BAB"/>
    <w:rsid w:val="00F85460"/>
    <w:rsid w:val="00F85C4C"/>
    <w:rsid w:val="00F9129B"/>
    <w:rsid w:val="00FA012C"/>
    <w:rsid w:val="00FB0D17"/>
    <w:rsid w:val="00FB13C3"/>
    <w:rsid w:val="00FB385E"/>
    <w:rsid w:val="00FB65A0"/>
    <w:rsid w:val="00FB73A8"/>
    <w:rsid w:val="00FC1E18"/>
    <w:rsid w:val="00FC5CD7"/>
    <w:rsid w:val="00FD25CE"/>
    <w:rsid w:val="00FD4E45"/>
    <w:rsid w:val="00FD6C6E"/>
    <w:rsid w:val="00FE3A53"/>
    <w:rsid w:val="00FE77CE"/>
    <w:rsid w:val="00FF2759"/>
    <w:rsid w:val="00FF4C4E"/>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676100"/>
    <w:pPr>
      <w:keepNext/>
      <w:spacing w:before="12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676100"/>
    <w:pPr>
      <w:keepNext/>
      <w:spacing w:before="12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7</Pages>
  <Words>3157</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21116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117</cp:revision>
  <cp:lastPrinted>2015-04-22T10:47:00Z</cp:lastPrinted>
  <dcterms:created xsi:type="dcterms:W3CDTF">2013-03-14T07:20:00Z</dcterms:created>
  <dcterms:modified xsi:type="dcterms:W3CDTF">2016-04-28T08:57:00Z</dcterms:modified>
</cp:coreProperties>
</file>